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F4BD56">
      <w:pPr>
        <w:pStyle w:val="6"/>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Times New Roman"/>
          <w:bCs/>
          <w:color w:val="auto"/>
          <w:sz w:val="36"/>
          <w:szCs w:val="36"/>
          <w:lang w:val="en-US" w:eastAsia="zh-CN"/>
        </w:rPr>
      </w:pPr>
      <w:r>
        <w:rPr>
          <w:rFonts w:hint="eastAsia" w:ascii="方正小标宋简体" w:eastAsia="方正小标宋简体" w:cs="Times New Roman"/>
          <w:bCs/>
          <w:color w:val="auto"/>
          <w:sz w:val="36"/>
          <w:szCs w:val="36"/>
          <w:lang w:val="en-US" w:eastAsia="zh-CN"/>
        </w:rPr>
        <w:t>河池市金城江城区排水防涝管网工程水土保持验收单位采购公告</w:t>
      </w:r>
    </w:p>
    <w:p w14:paraId="14A9A80B">
      <w:pPr>
        <w:pStyle w:val="6"/>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Times New Roman"/>
          <w:color w:val="auto"/>
          <w:sz w:val="28"/>
          <w:szCs w:val="28"/>
          <w:lang w:val="en-US" w:eastAsia="zh-CN"/>
        </w:rPr>
      </w:pPr>
    </w:p>
    <w:p w14:paraId="042972E1">
      <w:pPr>
        <w:pStyle w:val="6"/>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Times New Roman"/>
          <w:color w:val="auto"/>
          <w:sz w:val="28"/>
          <w:szCs w:val="28"/>
          <w:lang w:val="en-US" w:eastAsia="zh-CN"/>
        </w:rPr>
      </w:pPr>
      <w:r>
        <w:rPr>
          <w:rFonts w:hint="eastAsia" w:ascii="宋体" w:hAnsi="宋体" w:eastAsia="宋体" w:cs="Times New Roman"/>
          <w:color w:val="auto"/>
          <w:sz w:val="28"/>
          <w:szCs w:val="28"/>
          <w:lang w:val="en-US" w:eastAsia="zh-CN"/>
        </w:rPr>
        <w:t>由于工程建设需要，现对</w:t>
      </w:r>
      <w:r>
        <w:rPr>
          <w:rFonts w:hint="eastAsia" w:hAnsi="宋体" w:cs="Times New Roman"/>
          <w:color w:val="auto"/>
          <w:sz w:val="28"/>
          <w:szCs w:val="28"/>
          <w:lang w:val="en-US" w:eastAsia="zh-CN"/>
        </w:rPr>
        <w:t>河池市金城江城区排水防涝管网工程</w:t>
      </w:r>
      <w:r>
        <w:rPr>
          <w:rFonts w:hint="eastAsia" w:ascii="宋体" w:hAnsi="宋体" w:eastAsia="宋体" w:cs="Times New Roman"/>
          <w:color w:val="auto"/>
          <w:sz w:val="28"/>
          <w:szCs w:val="28"/>
          <w:lang w:val="en-US" w:eastAsia="zh-CN"/>
        </w:rPr>
        <w:t xml:space="preserve">水土保持验收单位进行采购，欢迎符合条件的单位参加竞标，现将有关事项公告如下： </w:t>
      </w:r>
    </w:p>
    <w:p w14:paraId="68D8E9C6">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Times New Roman"/>
          <w:color w:val="auto"/>
          <w:sz w:val="28"/>
          <w:szCs w:val="28"/>
          <w:lang w:val="en-US" w:eastAsia="zh-CN"/>
        </w:rPr>
      </w:pPr>
      <w:r>
        <w:rPr>
          <w:rFonts w:hint="eastAsia" w:ascii="宋体" w:hAnsi="宋体" w:eastAsia="宋体" w:cs="Times New Roman"/>
          <w:b/>
          <w:bCs/>
          <w:color w:val="auto"/>
          <w:sz w:val="28"/>
          <w:szCs w:val="28"/>
          <w:lang w:val="en-US" w:eastAsia="zh-CN"/>
        </w:rPr>
        <w:t>一、项目名称：</w:t>
      </w:r>
      <w:r>
        <w:rPr>
          <w:rFonts w:hint="eastAsia" w:hAnsi="宋体" w:cs="Times New Roman"/>
          <w:color w:val="auto"/>
          <w:sz w:val="28"/>
          <w:szCs w:val="28"/>
          <w:lang w:val="en-US" w:eastAsia="zh-CN"/>
        </w:rPr>
        <w:t>河池市金城江城区排水防涝管网工程</w:t>
      </w:r>
      <w:r>
        <w:rPr>
          <w:rFonts w:hint="eastAsia" w:ascii="宋体" w:hAnsi="宋体" w:eastAsia="宋体" w:cs="Times New Roman"/>
          <w:color w:val="auto"/>
          <w:sz w:val="28"/>
          <w:szCs w:val="28"/>
          <w:lang w:val="en-US" w:eastAsia="zh-CN"/>
        </w:rPr>
        <w:t>（水土保持</w:t>
      </w:r>
      <w:r>
        <w:rPr>
          <w:rFonts w:hint="eastAsia" w:ascii="宋体" w:hAnsi="宋体" w:cs="Times New Roman"/>
          <w:color w:val="auto"/>
          <w:sz w:val="28"/>
          <w:szCs w:val="28"/>
          <w:lang w:val="en-US" w:eastAsia="zh-CN"/>
        </w:rPr>
        <w:t>验收</w:t>
      </w:r>
      <w:r>
        <w:rPr>
          <w:rFonts w:hint="eastAsia" w:ascii="宋体" w:hAnsi="宋体" w:eastAsia="宋体" w:cs="Times New Roman"/>
          <w:color w:val="auto"/>
          <w:sz w:val="28"/>
          <w:szCs w:val="28"/>
          <w:lang w:val="en-US" w:eastAsia="zh-CN"/>
        </w:rPr>
        <w:t>）</w:t>
      </w:r>
    </w:p>
    <w:p w14:paraId="6B48E5EA">
      <w:pPr>
        <w:keepNext w:val="0"/>
        <w:keepLines w:val="0"/>
        <w:pageBreakBefore w:val="0"/>
        <w:widowControl w:val="0"/>
        <w:kinsoku/>
        <w:wordWrap/>
        <w:overflowPunct/>
        <w:topLinePunct w:val="0"/>
        <w:autoSpaceDE/>
        <w:autoSpaceDN/>
        <w:bidi w:val="0"/>
        <w:adjustRightInd/>
        <w:snapToGrid/>
        <w:spacing w:line="600" w:lineRule="exact"/>
        <w:ind w:firstLine="562" w:firstLineChars="200"/>
        <w:jc w:val="both"/>
        <w:textAlignment w:val="auto"/>
        <w:rPr>
          <w:rFonts w:hint="eastAsia"/>
          <w:b w:val="0"/>
          <w:bCs w:val="0"/>
          <w:color w:val="000000"/>
          <w:sz w:val="28"/>
          <w:szCs w:val="28"/>
          <w:lang w:val="en-US" w:eastAsia="zh-CN"/>
        </w:rPr>
      </w:pPr>
      <w:r>
        <w:rPr>
          <w:rFonts w:hint="eastAsia" w:ascii="宋体" w:hAnsi="宋体" w:eastAsia="宋体" w:cs="Times New Roman"/>
          <w:b/>
          <w:bCs/>
          <w:color w:val="auto"/>
          <w:sz w:val="28"/>
          <w:szCs w:val="28"/>
          <w:lang w:val="en-US" w:eastAsia="zh-CN"/>
        </w:rPr>
        <w:t>二、项目编号：</w:t>
      </w:r>
      <w:r>
        <w:rPr>
          <w:rFonts w:hint="eastAsia" w:ascii="宋体" w:hAnsi="宋体" w:eastAsia="宋体" w:cs="Times New Roman"/>
          <w:color w:val="auto"/>
          <w:sz w:val="28"/>
          <w:szCs w:val="28"/>
          <w:lang w:val="en-US" w:eastAsia="zh-CN"/>
        </w:rPr>
        <w:t>HCCT202</w:t>
      </w:r>
      <w:r>
        <w:rPr>
          <w:rFonts w:hint="eastAsia" w:ascii="宋体" w:hAnsi="宋体" w:cs="Times New Roman"/>
          <w:color w:val="auto"/>
          <w:sz w:val="28"/>
          <w:szCs w:val="28"/>
          <w:lang w:val="en-US" w:eastAsia="zh-CN"/>
        </w:rPr>
        <w:t>5009</w:t>
      </w:r>
      <w:r>
        <w:rPr>
          <w:rFonts w:hint="eastAsia" w:ascii="宋体" w:hAnsi="宋体" w:eastAsia="宋体" w:cs="Times New Roman"/>
          <w:color w:val="auto"/>
          <w:sz w:val="28"/>
          <w:szCs w:val="28"/>
          <w:lang w:val="en-US" w:eastAsia="zh-CN"/>
        </w:rPr>
        <w:t>号</w:t>
      </w:r>
    </w:p>
    <w:p w14:paraId="647789B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default" w:hAnsi="宋体" w:eastAsia="宋体" w:cs="Times New Roman"/>
          <w:color w:val="auto"/>
          <w:sz w:val="28"/>
          <w:szCs w:val="28"/>
          <w:lang w:val="en-US" w:eastAsia="zh-CN"/>
        </w:rPr>
      </w:pPr>
      <w:r>
        <w:rPr>
          <w:rFonts w:hint="eastAsia" w:ascii="宋体" w:hAnsi="宋体" w:eastAsia="宋体" w:cs="Times New Roman"/>
          <w:b/>
          <w:bCs/>
          <w:color w:val="auto"/>
          <w:sz w:val="28"/>
          <w:szCs w:val="28"/>
          <w:lang w:val="en-US" w:eastAsia="zh-CN"/>
        </w:rPr>
        <w:t>三、工程概况：</w:t>
      </w:r>
      <w:r>
        <w:rPr>
          <w:rFonts w:hint="eastAsia" w:hAnsi="宋体" w:eastAsia="宋体" w:cs="Times New Roman"/>
          <w:color w:val="auto"/>
          <w:sz w:val="28"/>
          <w:szCs w:val="28"/>
          <w:lang w:val="en-US" w:eastAsia="zh-CN"/>
        </w:rPr>
        <w:t>河池市金城江城区排水防涝管网工程项目位于金城江区，主要建设内容包括：对“人民厂至小桥食府”、“肯旺桥至市公路局”、“第十五小学”、“中山路卫校”、“六圩老街、新村、腰村、京峒村”、“肯研小学”等6个片区的排水管网进行建设改造。新建DN100~DN300排水压力管约660m，一体化泵站3座；新建DN150~DN600排水重力管约8721m，排水检查井286座，截流井5座，消能井3座；改造排水重力管DN150~DN800约7132m，排水检查井195座；新建雨水重力管DN1000约220米，雨水检查井6座，雨水口18个。具体项目建设规模及内容以批复初步设计的图纸为准（图纸中“主要工程量表”的数量与按图纸计算的工程量不一致的，以按图纸计算的为准。）</w:t>
      </w:r>
    </w:p>
    <w:p w14:paraId="266FC899">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Times New Roman"/>
          <w:b/>
          <w:bCs/>
          <w:color w:val="auto"/>
          <w:sz w:val="28"/>
          <w:szCs w:val="28"/>
          <w:lang w:val="en-US" w:eastAsia="zh-CN"/>
        </w:rPr>
      </w:pPr>
      <w:r>
        <w:rPr>
          <w:rFonts w:hint="eastAsia" w:ascii="宋体" w:hAnsi="宋体" w:eastAsia="宋体" w:cs="Times New Roman"/>
          <w:b/>
          <w:bCs/>
          <w:color w:val="auto"/>
          <w:sz w:val="28"/>
          <w:szCs w:val="28"/>
          <w:lang w:val="en-US" w:eastAsia="zh-CN"/>
        </w:rPr>
        <w:t>四、采购服务内容</w:t>
      </w:r>
    </w:p>
    <w:p w14:paraId="7F4F8DD8">
      <w:pPr>
        <w:pStyle w:val="3"/>
        <w:keepNext w:val="0"/>
        <w:keepLines w:val="0"/>
        <w:pageBreakBefore w:val="0"/>
        <w:widowControl w:val="0"/>
        <w:kinsoku/>
        <w:wordWrap/>
        <w:overflowPunct/>
        <w:topLinePunct w:val="0"/>
        <w:autoSpaceDN/>
        <w:bidi w:val="0"/>
        <w:adjustRightInd/>
        <w:spacing w:line="600" w:lineRule="exact"/>
        <w:ind w:firstLine="640"/>
        <w:jc w:val="both"/>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一）工作内容：依据国家法律法规及行业主管部门的要求，协助甲方进行河池市金城江区污水处理厂配套管网改扩建工程水土保持验收及按照项目实际情况编制水土保持验收报告，配合甲方报相关行政主管部门进行水保备案。</w:t>
      </w:r>
    </w:p>
    <w:p w14:paraId="335A96A5">
      <w:pPr>
        <w:pStyle w:val="12"/>
        <w:keepNext w:val="0"/>
        <w:keepLines w:val="0"/>
        <w:pageBreakBefore w:val="0"/>
        <w:widowControl w:val="0"/>
        <w:numPr>
          <w:ilvl w:val="0"/>
          <w:numId w:val="0"/>
        </w:numPr>
        <w:kinsoku/>
        <w:wordWrap/>
        <w:overflowPunct/>
        <w:topLinePunct w:val="0"/>
        <w:autoSpaceDE w:val="0"/>
        <w:autoSpaceDN/>
        <w:bidi w:val="0"/>
        <w:adjustRightInd/>
        <w:snapToGrid/>
        <w:spacing w:line="600" w:lineRule="exact"/>
        <w:ind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cs="Times New Roman"/>
          <w:color w:val="auto"/>
          <w:kern w:val="2"/>
          <w:sz w:val="28"/>
          <w:szCs w:val="28"/>
          <w:lang w:val="en-US" w:eastAsia="zh-CN" w:bidi="ar-SA"/>
        </w:rPr>
        <w:t>（二）</w:t>
      </w:r>
      <w:r>
        <w:rPr>
          <w:rFonts w:hint="eastAsia" w:ascii="宋体" w:hAnsi="宋体" w:eastAsia="宋体" w:cs="Times New Roman"/>
          <w:color w:val="auto"/>
          <w:kern w:val="2"/>
          <w:sz w:val="28"/>
          <w:szCs w:val="28"/>
          <w:lang w:val="en-US" w:eastAsia="zh-CN" w:bidi="ar-SA"/>
        </w:rPr>
        <w:t>服务期限</w:t>
      </w:r>
      <w:r>
        <w:rPr>
          <w:rFonts w:hint="eastAsia" w:ascii="宋体" w:hAnsi="宋体" w:cs="Times New Roman"/>
          <w:color w:val="auto"/>
          <w:kern w:val="2"/>
          <w:sz w:val="28"/>
          <w:szCs w:val="28"/>
          <w:lang w:val="en-US" w:eastAsia="zh-CN" w:bidi="ar-SA"/>
        </w:rPr>
        <w:t>：</w:t>
      </w:r>
      <w:r>
        <w:rPr>
          <w:rFonts w:hint="eastAsia" w:ascii="宋体" w:hAnsi="宋体" w:eastAsia="宋体" w:cs="Times New Roman"/>
          <w:color w:val="auto"/>
          <w:kern w:val="2"/>
          <w:sz w:val="28"/>
          <w:szCs w:val="28"/>
          <w:lang w:val="en-US" w:eastAsia="zh-CN" w:bidi="ar-SA"/>
        </w:rPr>
        <w:t>自合同</w:t>
      </w:r>
      <w:r>
        <w:rPr>
          <w:rFonts w:hint="eastAsia" w:ascii="宋体" w:hAnsi="宋体" w:cs="Times New Roman"/>
          <w:color w:val="auto"/>
          <w:kern w:val="2"/>
          <w:sz w:val="28"/>
          <w:szCs w:val="28"/>
          <w:lang w:val="en-US" w:eastAsia="zh-CN" w:bidi="ar-SA"/>
        </w:rPr>
        <w:t>签订后</w:t>
      </w:r>
      <w:r>
        <w:rPr>
          <w:rFonts w:hint="eastAsia" w:ascii="宋体" w:hAnsi="宋体" w:eastAsia="宋体" w:cs="Times New Roman"/>
          <w:color w:val="auto"/>
          <w:kern w:val="2"/>
          <w:sz w:val="28"/>
          <w:szCs w:val="28"/>
          <w:lang w:val="en-US" w:eastAsia="zh-CN" w:bidi="ar-SA"/>
        </w:rPr>
        <w:t>至项目水土保持</w:t>
      </w:r>
      <w:r>
        <w:rPr>
          <w:rFonts w:hint="eastAsia" w:ascii="宋体" w:hAnsi="宋体" w:cs="Times New Roman"/>
          <w:color w:val="auto"/>
          <w:kern w:val="2"/>
          <w:sz w:val="28"/>
          <w:szCs w:val="28"/>
          <w:lang w:val="en-US" w:eastAsia="zh-CN" w:bidi="ar-SA"/>
        </w:rPr>
        <w:t>验收</w:t>
      </w:r>
      <w:r>
        <w:rPr>
          <w:rFonts w:hint="eastAsia" w:ascii="宋体" w:hAnsi="宋体" w:eastAsia="宋体" w:cs="Times New Roman"/>
          <w:color w:val="auto"/>
          <w:kern w:val="2"/>
          <w:sz w:val="28"/>
          <w:szCs w:val="28"/>
          <w:lang w:val="en-US" w:eastAsia="zh-CN" w:bidi="ar-SA"/>
        </w:rPr>
        <w:t>服务</w:t>
      </w:r>
      <w:r>
        <w:rPr>
          <w:rFonts w:hint="eastAsia" w:ascii="宋体" w:hAnsi="宋体" w:cs="Times New Roman"/>
          <w:color w:val="auto"/>
          <w:kern w:val="2"/>
          <w:sz w:val="28"/>
          <w:szCs w:val="28"/>
          <w:lang w:val="en-US" w:eastAsia="zh-CN" w:bidi="ar-SA"/>
        </w:rPr>
        <w:t>并向</w:t>
      </w:r>
      <w:r>
        <w:rPr>
          <w:rFonts w:hint="eastAsia" w:ascii="宋体" w:hAnsi="宋体" w:cs="宋体"/>
          <w:color w:val="000000"/>
          <w:kern w:val="0"/>
          <w:sz w:val="28"/>
          <w:szCs w:val="28"/>
          <w:lang w:val="en-US" w:eastAsia="zh-CN"/>
        </w:rPr>
        <w:t>报</w:t>
      </w:r>
      <w:r>
        <w:rPr>
          <w:rFonts w:hint="eastAsia" w:ascii="宋体" w:hAnsi="宋体" w:cs="宋体"/>
          <w:color w:val="000000"/>
          <w:kern w:val="0"/>
          <w:sz w:val="28"/>
          <w:szCs w:val="28"/>
        </w:rPr>
        <w:t>相关行政主管部门</w:t>
      </w:r>
      <w:r>
        <w:rPr>
          <w:rFonts w:hint="eastAsia" w:ascii="宋体" w:hAnsi="宋体" w:cs="Times New Roman"/>
          <w:color w:val="auto"/>
          <w:kern w:val="2"/>
          <w:sz w:val="28"/>
          <w:szCs w:val="28"/>
          <w:lang w:val="en-US" w:eastAsia="zh-CN" w:bidi="ar-SA"/>
        </w:rPr>
        <w:t>完成</w:t>
      </w:r>
      <w:r>
        <w:rPr>
          <w:rFonts w:hint="eastAsia" w:ascii="宋体" w:hAnsi="宋体" w:cs="宋体"/>
          <w:color w:val="000000"/>
          <w:kern w:val="0"/>
          <w:sz w:val="28"/>
          <w:szCs w:val="28"/>
          <w:lang w:val="en-US" w:eastAsia="zh-CN"/>
        </w:rPr>
        <w:t>备案</w:t>
      </w:r>
      <w:r>
        <w:rPr>
          <w:rFonts w:hint="eastAsia" w:ascii="宋体" w:hAnsi="宋体" w:eastAsia="宋体" w:cs="Times New Roman"/>
          <w:color w:val="auto"/>
          <w:kern w:val="2"/>
          <w:sz w:val="28"/>
          <w:szCs w:val="28"/>
          <w:lang w:val="en-US" w:eastAsia="zh-CN" w:bidi="ar-SA"/>
        </w:rPr>
        <w:t>。</w:t>
      </w:r>
    </w:p>
    <w:p w14:paraId="394F6913">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Times New Roman"/>
          <w:b/>
          <w:bCs/>
          <w:color w:val="auto"/>
          <w:sz w:val="28"/>
          <w:szCs w:val="28"/>
          <w:lang w:val="en-US" w:eastAsia="zh-CN"/>
        </w:rPr>
      </w:pPr>
      <w:r>
        <w:rPr>
          <w:rFonts w:hint="eastAsia" w:ascii="宋体" w:hAnsi="宋体" w:eastAsia="宋体" w:cs="Times New Roman"/>
          <w:b/>
          <w:bCs/>
          <w:color w:val="auto"/>
          <w:sz w:val="28"/>
          <w:szCs w:val="28"/>
          <w:lang w:val="en-US" w:eastAsia="zh-CN"/>
        </w:rPr>
        <w:t>五、服务费用</w:t>
      </w:r>
    </w:p>
    <w:p w14:paraId="0173089B">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cs="Times New Roman"/>
          <w:color w:val="auto"/>
          <w:kern w:val="2"/>
          <w:sz w:val="28"/>
          <w:szCs w:val="28"/>
          <w:lang w:val="en-US" w:eastAsia="zh-CN" w:bidi="ar-SA"/>
        </w:rPr>
        <w:t>（一）</w:t>
      </w:r>
      <w:r>
        <w:rPr>
          <w:rFonts w:hint="eastAsia" w:ascii="宋体" w:hAnsi="宋体" w:eastAsia="宋体" w:cs="Times New Roman"/>
          <w:color w:val="auto"/>
          <w:kern w:val="2"/>
          <w:sz w:val="28"/>
          <w:szCs w:val="28"/>
          <w:lang w:val="en-US" w:eastAsia="zh-CN" w:bidi="ar-SA"/>
        </w:rPr>
        <w:t>本项目水土保持</w:t>
      </w:r>
      <w:r>
        <w:rPr>
          <w:rFonts w:hint="eastAsia" w:ascii="宋体" w:hAnsi="宋体" w:cs="Times New Roman"/>
          <w:color w:val="auto"/>
          <w:kern w:val="2"/>
          <w:sz w:val="28"/>
          <w:szCs w:val="28"/>
          <w:lang w:val="en-US" w:eastAsia="zh-CN" w:bidi="ar-SA"/>
        </w:rPr>
        <w:t>验收</w:t>
      </w:r>
      <w:r>
        <w:rPr>
          <w:rFonts w:hint="eastAsia" w:ascii="宋体" w:hAnsi="宋体" w:eastAsia="宋体" w:cs="Times New Roman"/>
          <w:color w:val="auto"/>
          <w:kern w:val="2"/>
          <w:sz w:val="28"/>
          <w:szCs w:val="28"/>
          <w:lang w:val="en-US" w:eastAsia="zh-CN" w:bidi="ar-SA"/>
        </w:rPr>
        <w:t>服务费上限控制价为</w:t>
      </w:r>
      <w:r>
        <w:rPr>
          <w:rFonts w:hint="eastAsia" w:ascii="宋体" w:hAnsi="宋体" w:eastAsia="宋体" w:cs="Times New Roman"/>
          <w:color w:val="auto"/>
          <w:kern w:val="2"/>
          <w:sz w:val="28"/>
          <w:szCs w:val="28"/>
          <w:highlight w:val="none"/>
          <w:lang w:val="en-US" w:eastAsia="zh-CN" w:bidi="ar-SA"/>
        </w:rPr>
        <w:t>人民币</w:t>
      </w:r>
      <w:r>
        <w:rPr>
          <w:rFonts w:hint="eastAsia" w:ascii="宋体" w:hAnsi="宋体" w:cs="Times New Roman"/>
          <w:color w:val="auto"/>
          <w:kern w:val="2"/>
          <w:sz w:val="28"/>
          <w:szCs w:val="28"/>
          <w:highlight w:val="none"/>
          <w:lang w:val="en-US" w:eastAsia="zh-CN" w:bidi="ar-SA"/>
        </w:rPr>
        <w:t>贰万陆仟</w:t>
      </w:r>
      <w:r>
        <w:rPr>
          <w:rFonts w:hint="eastAsia" w:ascii="宋体" w:hAnsi="宋体" w:eastAsia="宋体" w:cs="Times New Roman"/>
          <w:color w:val="auto"/>
          <w:kern w:val="2"/>
          <w:sz w:val="28"/>
          <w:szCs w:val="28"/>
          <w:highlight w:val="none"/>
          <w:lang w:val="en-US" w:eastAsia="zh-CN" w:bidi="ar-SA"/>
        </w:rPr>
        <w:t>元整（￥</w:t>
      </w:r>
      <w:r>
        <w:rPr>
          <w:rFonts w:hint="eastAsia" w:ascii="宋体" w:hAnsi="宋体" w:cs="Times New Roman"/>
          <w:color w:val="auto"/>
          <w:kern w:val="2"/>
          <w:sz w:val="28"/>
          <w:szCs w:val="28"/>
          <w:highlight w:val="none"/>
          <w:lang w:val="en-US" w:eastAsia="zh-CN" w:bidi="ar-SA"/>
        </w:rPr>
        <w:t>26000.00</w:t>
      </w:r>
      <w:r>
        <w:rPr>
          <w:rFonts w:hint="eastAsia" w:ascii="宋体" w:hAnsi="宋体" w:eastAsia="宋体" w:cs="Times New Roman"/>
          <w:color w:val="auto"/>
          <w:kern w:val="2"/>
          <w:sz w:val="28"/>
          <w:szCs w:val="28"/>
          <w:highlight w:val="none"/>
          <w:lang w:val="en-US" w:eastAsia="zh-CN" w:bidi="ar-SA"/>
        </w:rPr>
        <w:t>元）</w:t>
      </w:r>
      <w:r>
        <w:rPr>
          <w:rFonts w:hint="eastAsia" w:ascii="宋体" w:hAnsi="宋体" w:cs="Times New Roman"/>
          <w:color w:val="auto"/>
          <w:kern w:val="2"/>
          <w:sz w:val="28"/>
          <w:szCs w:val="28"/>
          <w:highlight w:val="none"/>
          <w:lang w:val="en-US" w:eastAsia="zh-CN" w:bidi="ar-SA"/>
        </w:rPr>
        <w:t>；</w:t>
      </w:r>
    </w:p>
    <w:p w14:paraId="5E6EC9C9">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（二）竞标人的报价应包括完成本次招标服务内容范围内全部工作的所有费用【包含但不限于完成合同项目所需的劳务、材料、设备、仪器、运输、检测与试验、</w:t>
      </w:r>
      <w:r>
        <w:rPr>
          <w:rFonts w:hint="eastAsia" w:ascii="宋体" w:hAnsi="宋体" w:cs="Times New Roman"/>
          <w:color w:val="auto"/>
          <w:kern w:val="2"/>
          <w:sz w:val="28"/>
          <w:szCs w:val="28"/>
          <w:lang w:val="en-US" w:eastAsia="zh-CN" w:bidi="ar-SA"/>
        </w:rPr>
        <w:t>安</w:t>
      </w:r>
      <w:r>
        <w:rPr>
          <w:rFonts w:hint="eastAsia" w:ascii="宋体" w:hAnsi="宋体" w:eastAsia="宋体" w:cs="Times New Roman"/>
          <w:color w:val="auto"/>
          <w:kern w:val="2"/>
          <w:sz w:val="28"/>
          <w:szCs w:val="28"/>
          <w:lang w:val="en-US" w:eastAsia="zh-CN" w:bidi="ar-SA"/>
        </w:rPr>
        <w:t>全警戒、管理、保险、税费、利润等费用】。</w:t>
      </w:r>
    </w:p>
    <w:p w14:paraId="03CAF4B0">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Times New Roman"/>
          <w:b/>
          <w:bCs/>
          <w:color w:val="auto"/>
          <w:sz w:val="28"/>
          <w:szCs w:val="28"/>
          <w:lang w:val="en-US" w:eastAsia="zh-CN"/>
        </w:rPr>
      </w:pPr>
      <w:r>
        <w:rPr>
          <w:rFonts w:hint="eastAsia" w:ascii="宋体" w:hAnsi="宋体" w:eastAsia="宋体" w:cs="Times New Roman"/>
          <w:b/>
          <w:bCs/>
          <w:color w:val="auto"/>
          <w:sz w:val="28"/>
          <w:szCs w:val="28"/>
          <w:lang w:val="en-US" w:eastAsia="zh-CN"/>
        </w:rPr>
        <w:t>六、竞标人资格</w:t>
      </w:r>
    </w:p>
    <w:p w14:paraId="6436B14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default" w:ascii="Arial" w:hAnsi="Arial" w:eastAsia="Arial" w:cs="Arial"/>
          <w:i w:val="0"/>
          <w:iCs w:val="0"/>
          <w:caps w:val="0"/>
          <w:color w:val="000000"/>
          <w:spacing w:val="0"/>
          <w:sz w:val="28"/>
          <w:szCs w:val="28"/>
          <w:shd w:val="clear" w:fill="FFFFFF"/>
        </w:rPr>
      </w:pPr>
      <w:r>
        <w:rPr>
          <w:rFonts w:hint="eastAsia" w:ascii="Arial" w:hAnsi="Arial" w:eastAsia="宋体" w:cs="Arial"/>
          <w:i w:val="0"/>
          <w:iCs w:val="0"/>
          <w:caps w:val="0"/>
          <w:color w:val="000000"/>
          <w:spacing w:val="0"/>
          <w:sz w:val="28"/>
          <w:szCs w:val="28"/>
          <w:shd w:val="clear" w:fill="FFFFFF"/>
          <w:lang w:eastAsia="zh-CN"/>
        </w:rPr>
        <w:t>（</w:t>
      </w:r>
      <w:r>
        <w:rPr>
          <w:rFonts w:hint="eastAsia" w:ascii="Arial" w:hAnsi="Arial" w:eastAsia="宋体" w:cs="Arial"/>
          <w:i w:val="0"/>
          <w:iCs w:val="0"/>
          <w:caps w:val="0"/>
          <w:color w:val="000000"/>
          <w:spacing w:val="0"/>
          <w:sz w:val="28"/>
          <w:szCs w:val="28"/>
          <w:shd w:val="clear" w:fill="FFFFFF"/>
          <w:lang w:val="en-US" w:eastAsia="zh-CN"/>
        </w:rPr>
        <w:t>一</w:t>
      </w:r>
      <w:r>
        <w:rPr>
          <w:rFonts w:hint="eastAsia" w:ascii="Arial" w:hAnsi="Arial" w:eastAsia="宋体" w:cs="Arial"/>
          <w:i w:val="0"/>
          <w:iCs w:val="0"/>
          <w:caps w:val="0"/>
          <w:color w:val="000000"/>
          <w:spacing w:val="0"/>
          <w:sz w:val="28"/>
          <w:szCs w:val="28"/>
          <w:shd w:val="clear" w:fill="FFFFFF"/>
          <w:lang w:eastAsia="zh-CN"/>
        </w:rPr>
        <w:t>）</w:t>
      </w:r>
      <w:r>
        <w:rPr>
          <w:rFonts w:hint="default" w:ascii="Arial" w:hAnsi="Arial" w:eastAsia="Arial" w:cs="Arial"/>
          <w:i w:val="0"/>
          <w:iCs w:val="0"/>
          <w:caps w:val="0"/>
          <w:color w:val="000000"/>
          <w:spacing w:val="0"/>
          <w:sz w:val="28"/>
          <w:szCs w:val="28"/>
          <w:shd w:val="clear" w:fill="FFFFFF"/>
        </w:rPr>
        <w:t>符合《中华人民共和国政府采购法》第二十二条规定条件；</w:t>
      </w:r>
      <w:r>
        <w:rPr>
          <w:rFonts w:hint="default" w:ascii="Arial" w:hAnsi="Arial" w:eastAsia="Arial" w:cs="Arial"/>
          <w:i w:val="0"/>
          <w:iCs w:val="0"/>
          <w:caps w:val="0"/>
          <w:color w:val="000000"/>
          <w:spacing w:val="0"/>
          <w:sz w:val="28"/>
          <w:szCs w:val="28"/>
          <w:shd w:val="clear" w:fill="FFFFFF"/>
        </w:rPr>
        <w:br w:type="textWrapping"/>
      </w:r>
      <w:r>
        <w:rPr>
          <w:rFonts w:hint="default" w:ascii="Arial" w:hAnsi="Arial" w:eastAsia="Arial" w:cs="Arial"/>
          <w:i w:val="0"/>
          <w:iCs w:val="0"/>
          <w:caps w:val="0"/>
          <w:color w:val="000000"/>
          <w:spacing w:val="0"/>
          <w:sz w:val="28"/>
          <w:szCs w:val="28"/>
          <w:shd w:val="clear" w:fill="FFFFFF"/>
        </w:rPr>
        <w:t>　　</w:t>
      </w:r>
      <w:r>
        <w:rPr>
          <w:rFonts w:hint="eastAsia" w:ascii="Arial" w:hAnsi="Arial" w:eastAsia="宋体" w:cs="Arial"/>
          <w:i w:val="0"/>
          <w:iCs w:val="0"/>
          <w:caps w:val="0"/>
          <w:color w:val="000000"/>
          <w:spacing w:val="0"/>
          <w:sz w:val="28"/>
          <w:szCs w:val="28"/>
          <w:shd w:val="clear" w:fill="FFFFFF"/>
          <w:lang w:eastAsia="zh-CN"/>
        </w:rPr>
        <w:t>（</w:t>
      </w:r>
      <w:r>
        <w:rPr>
          <w:rFonts w:hint="eastAsia" w:ascii="Arial" w:hAnsi="Arial" w:eastAsia="宋体" w:cs="Arial"/>
          <w:i w:val="0"/>
          <w:iCs w:val="0"/>
          <w:caps w:val="0"/>
          <w:color w:val="000000"/>
          <w:spacing w:val="0"/>
          <w:sz w:val="28"/>
          <w:szCs w:val="28"/>
          <w:shd w:val="clear" w:fill="FFFFFF"/>
          <w:lang w:val="en-US" w:eastAsia="zh-CN"/>
        </w:rPr>
        <w:t>二</w:t>
      </w:r>
      <w:r>
        <w:rPr>
          <w:rFonts w:hint="eastAsia" w:ascii="Arial" w:hAnsi="Arial" w:eastAsia="宋体" w:cs="Arial"/>
          <w:i w:val="0"/>
          <w:iCs w:val="0"/>
          <w:caps w:val="0"/>
          <w:color w:val="000000"/>
          <w:spacing w:val="0"/>
          <w:sz w:val="28"/>
          <w:szCs w:val="28"/>
          <w:shd w:val="clear" w:fill="FFFFFF"/>
          <w:lang w:eastAsia="zh-CN"/>
        </w:rPr>
        <w:t>）</w:t>
      </w:r>
      <w:r>
        <w:rPr>
          <w:rFonts w:hint="default" w:ascii="Arial" w:hAnsi="Arial" w:eastAsia="Arial" w:cs="Arial"/>
          <w:i w:val="0"/>
          <w:iCs w:val="0"/>
          <w:caps w:val="0"/>
          <w:color w:val="000000"/>
          <w:spacing w:val="0"/>
          <w:sz w:val="28"/>
          <w:szCs w:val="28"/>
          <w:shd w:val="clear" w:fill="FFFFFF"/>
        </w:rPr>
        <w:t>具有独立法人及企业法人营业执照；</w:t>
      </w:r>
    </w:p>
    <w:p w14:paraId="19859942">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Arial" w:hAnsi="Arial" w:eastAsia="Arial" w:cs="Arial"/>
          <w:i w:val="0"/>
          <w:iCs w:val="0"/>
          <w:caps w:val="0"/>
          <w:color w:val="000000"/>
          <w:spacing w:val="0"/>
          <w:sz w:val="28"/>
          <w:szCs w:val="28"/>
          <w:shd w:val="clear" w:fill="FFFFFF"/>
        </w:rPr>
      </w:pPr>
      <w:r>
        <w:rPr>
          <w:rFonts w:hint="eastAsia" w:ascii="Arial" w:hAnsi="Arial" w:eastAsia="宋体" w:cs="Arial"/>
          <w:i w:val="0"/>
          <w:iCs w:val="0"/>
          <w:caps w:val="0"/>
          <w:color w:val="000000"/>
          <w:spacing w:val="0"/>
          <w:sz w:val="28"/>
          <w:szCs w:val="28"/>
          <w:shd w:val="clear" w:fill="FFFFFF"/>
          <w:lang w:eastAsia="zh-CN"/>
        </w:rPr>
        <w:t>（</w:t>
      </w:r>
      <w:r>
        <w:rPr>
          <w:rFonts w:hint="eastAsia" w:ascii="Arial" w:hAnsi="Arial" w:eastAsia="宋体" w:cs="Arial"/>
          <w:i w:val="0"/>
          <w:iCs w:val="0"/>
          <w:caps w:val="0"/>
          <w:color w:val="000000"/>
          <w:spacing w:val="0"/>
          <w:sz w:val="28"/>
          <w:szCs w:val="28"/>
          <w:shd w:val="clear" w:fill="FFFFFF"/>
          <w:lang w:val="en-US" w:eastAsia="zh-CN"/>
        </w:rPr>
        <w:t>三</w:t>
      </w:r>
      <w:r>
        <w:rPr>
          <w:rFonts w:hint="eastAsia" w:ascii="Arial" w:hAnsi="Arial" w:eastAsia="宋体" w:cs="Arial"/>
          <w:i w:val="0"/>
          <w:iCs w:val="0"/>
          <w:caps w:val="0"/>
          <w:color w:val="000000"/>
          <w:spacing w:val="0"/>
          <w:sz w:val="28"/>
          <w:szCs w:val="28"/>
          <w:shd w:val="clear" w:fill="FFFFFF"/>
          <w:lang w:eastAsia="zh-CN"/>
        </w:rPr>
        <w:t>）</w:t>
      </w:r>
      <w:r>
        <w:rPr>
          <w:rFonts w:hint="eastAsia" w:ascii="宋体" w:hAnsi="宋体" w:eastAsia="宋体" w:cs="Times New Roman"/>
          <w:color w:val="auto"/>
          <w:kern w:val="2"/>
          <w:sz w:val="28"/>
          <w:szCs w:val="28"/>
          <w:lang w:val="en-US" w:eastAsia="zh-CN" w:bidi="ar-SA"/>
        </w:rPr>
        <w:t>具备</w:t>
      </w:r>
      <w:r>
        <w:rPr>
          <w:rFonts w:hint="eastAsia" w:ascii="宋体" w:hAnsi="宋体" w:cs="Times New Roman"/>
          <w:color w:val="auto"/>
          <w:kern w:val="2"/>
          <w:sz w:val="28"/>
          <w:szCs w:val="28"/>
          <w:lang w:val="en-US" w:eastAsia="zh-CN" w:bidi="ar-SA"/>
        </w:rPr>
        <w:t>实施</w:t>
      </w:r>
      <w:r>
        <w:rPr>
          <w:rFonts w:hint="eastAsia" w:ascii="宋体" w:hAnsi="宋体" w:eastAsia="宋体" w:cs="Times New Roman"/>
          <w:color w:val="auto"/>
          <w:kern w:val="2"/>
          <w:sz w:val="28"/>
          <w:szCs w:val="28"/>
          <w:lang w:val="en-US" w:eastAsia="zh-CN" w:bidi="ar-SA"/>
        </w:rPr>
        <w:t>项目水土保持监测</w:t>
      </w:r>
      <w:r>
        <w:rPr>
          <w:rFonts w:hint="eastAsia" w:ascii="宋体" w:hAnsi="宋体" w:cs="Times New Roman"/>
          <w:color w:val="auto"/>
          <w:kern w:val="2"/>
          <w:sz w:val="28"/>
          <w:szCs w:val="28"/>
          <w:lang w:val="en-US" w:eastAsia="zh-CN" w:bidi="ar-SA"/>
        </w:rPr>
        <w:t>验收的能力</w:t>
      </w:r>
      <w:r>
        <w:rPr>
          <w:rFonts w:hint="eastAsia" w:cs="Times New Roman"/>
          <w:color w:val="000000" w:themeColor="text1"/>
          <w:sz w:val="28"/>
          <w:szCs w:val="28"/>
          <w:lang w:val="en-US" w:eastAsia="zh-CN"/>
          <w14:textFill>
            <w14:solidFill>
              <w14:schemeClr w14:val="tx1"/>
            </w14:solidFill>
          </w14:textFill>
        </w:rPr>
        <w:t>，并在</w:t>
      </w:r>
      <w:r>
        <w:rPr>
          <w:rFonts w:hint="default" w:ascii="宋体" w:hAnsi="宋体" w:eastAsia="宋体" w:cs="Times New Roman"/>
          <w:color w:val="auto"/>
          <w:kern w:val="2"/>
          <w:sz w:val="28"/>
          <w:szCs w:val="28"/>
          <w:lang w:val="en-US" w:eastAsia="zh-CN" w:bidi="ar-SA"/>
        </w:rPr>
        <w:t>全国投资项目在线审批监管平台备案</w:t>
      </w:r>
      <w:r>
        <w:rPr>
          <w:rFonts w:hint="eastAsia" w:ascii="宋体" w:hAnsi="宋体" w:eastAsia="宋体" w:cs="Times New Roman"/>
          <w:color w:val="auto"/>
          <w:kern w:val="2"/>
          <w:sz w:val="28"/>
          <w:szCs w:val="28"/>
          <w:lang w:val="en-US" w:eastAsia="zh-CN" w:bidi="ar-SA"/>
        </w:rPr>
        <w:t>（专业为水土保持）</w:t>
      </w:r>
      <w:r>
        <w:rPr>
          <w:rFonts w:hint="eastAsia" w:cs="Times New Roman"/>
          <w:color w:val="000000" w:themeColor="text1"/>
          <w:sz w:val="28"/>
          <w:szCs w:val="28"/>
          <w:lang w:val="en-US" w:eastAsia="zh-CN"/>
          <w14:textFill>
            <w14:solidFill>
              <w14:schemeClr w14:val="tx1"/>
            </w14:solidFill>
          </w14:textFill>
        </w:rPr>
        <w:t>；</w:t>
      </w:r>
    </w:p>
    <w:p w14:paraId="03E99BC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eastAsia"/>
          <w:lang w:val="en-US" w:eastAsia="zh-CN"/>
        </w:rPr>
      </w:pPr>
      <w:r>
        <w:rPr>
          <w:rFonts w:hint="eastAsia" w:ascii="Arial" w:hAnsi="Arial" w:eastAsia="宋体" w:cs="Arial"/>
          <w:i w:val="0"/>
          <w:iCs w:val="0"/>
          <w:caps w:val="0"/>
          <w:color w:val="000000"/>
          <w:spacing w:val="0"/>
          <w:sz w:val="28"/>
          <w:szCs w:val="28"/>
          <w:shd w:val="clear" w:fill="FFFFFF"/>
          <w:lang w:eastAsia="zh-CN"/>
        </w:rPr>
        <w:t>（</w:t>
      </w:r>
      <w:r>
        <w:rPr>
          <w:rFonts w:hint="eastAsia" w:ascii="Arial" w:hAnsi="Arial" w:eastAsia="宋体" w:cs="Arial"/>
          <w:i w:val="0"/>
          <w:iCs w:val="0"/>
          <w:caps w:val="0"/>
          <w:color w:val="000000"/>
          <w:spacing w:val="0"/>
          <w:sz w:val="28"/>
          <w:szCs w:val="28"/>
          <w:shd w:val="clear" w:fill="FFFFFF"/>
          <w:lang w:val="en-US" w:eastAsia="zh-CN"/>
        </w:rPr>
        <w:t>四</w:t>
      </w:r>
      <w:r>
        <w:rPr>
          <w:rFonts w:hint="eastAsia" w:ascii="Arial" w:hAnsi="Arial" w:eastAsia="宋体" w:cs="Arial"/>
          <w:i w:val="0"/>
          <w:iCs w:val="0"/>
          <w:caps w:val="0"/>
          <w:color w:val="000000"/>
          <w:spacing w:val="0"/>
          <w:sz w:val="28"/>
          <w:szCs w:val="28"/>
          <w:shd w:val="clear" w:fill="FFFFFF"/>
          <w:lang w:eastAsia="zh-CN"/>
        </w:rPr>
        <w:t>）</w:t>
      </w:r>
      <w:r>
        <w:rPr>
          <w:rFonts w:hint="default" w:ascii="Arial" w:hAnsi="Arial" w:eastAsia="Arial" w:cs="Arial"/>
          <w:i w:val="0"/>
          <w:iCs w:val="0"/>
          <w:caps w:val="0"/>
          <w:color w:val="000000"/>
          <w:spacing w:val="0"/>
          <w:sz w:val="28"/>
          <w:szCs w:val="28"/>
          <w:shd w:val="clear" w:fill="FFFFFF"/>
        </w:rPr>
        <w:t>投标单位近三年没有违法、违规及处于被相关行政主管部门的处罚期限内。</w:t>
      </w:r>
    </w:p>
    <w:p w14:paraId="578A7994">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Times New Roman"/>
          <w:b/>
          <w:bCs/>
          <w:color w:val="auto"/>
          <w:sz w:val="28"/>
          <w:szCs w:val="28"/>
          <w:lang w:val="en-US" w:eastAsia="zh-CN"/>
        </w:rPr>
      </w:pPr>
      <w:r>
        <w:rPr>
          <w:rFonts w:hint="eastAsia" w:ascii="宋体" w:hAnsi="宋体" w:eastAsia="宋体" w:cs="Times New Roman"/>
          <w:b/>
          <w:bCs/>
          <w:color w:val="auto"/>
          <w:sz w:val="28"/>
          <w:szCs w:val="28"/>
          <w:lang w:val="en-US" w:eastAsia="zh-CN"/>
        </w:rPr>
        <w:t>七、中标人确定办法</w:t>
      </w:r>
    </w:p>
    <w:p w14:paraId="0C043A8A">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（一）有效报价：报价＜</w:t>
      </w:r>
      <w:r>
        <w:rPr>
          <w:rFonts w:hint="eastAsia" w:ascii="宋体" w:hAnsi="宋体" w:cs="Times New Roman"/>
          <w:color w:val="auto"/>
          <w:kern w:val="2"/>
          <w:sz w:val="28"/>
          <w:szCs w:val="28"/>
          <w:lang w:val="en-US" w:eastAsia="zh-CN" w:bidi="ar-SA"/>
        </w:rPr>
        <w:t>26</w:t>
      </w:r>
      <w:r>
        <w:rPr>
          <w:rFonts w:hint="eastAsia" w:ascii="宋体" w:hAnsi="宋体" w:eastAsia="宋体" w:cs="Times New Roman"/>
          <w:color w:val="auto"/>
          <w:kern w:val="2"/>
          <w:sz w:val="28"/>
          <w:szCs w:val="28"/>
          <w:lang w:val="en-US" w:eastAsia="zh-CN" w:bidi="ar-SA"/>
        </w:rPr>
        <w:t>000.00元为有效报价；</w:t>
      </w:r>
    </w:p>
    <w:p w14:paraId="5FC4731A">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eastAsia" w:ascii="宋体" w:hAnsi="宋体" w:cs="Times New Roman"/>
          <w:color w:val="auto"/>
          <w:kern w:val="2"/>
          <w:sz w:val="28"/>
          <w:szCs w:val="28"/>
          <w:lang w:val="en-US" w:eastAsia="zh-CN" w:bidi="ar-SA"/>
        </w:rPr>
      </w:pPr>
      <w:r>
        <w:rPr>
          <w:rFonts w:hint="eastAsia" w:ascii="宋体" w:hAnsi="宋体" w:cs="Times New Roman"/>
          <w:color w:val="auto"/>
          <w:kern w:val="2"/>
          <w:sz w:val="28"/>
          <w:szCs w:val="28"/>
          <w:lang w:val="en-US" w:eastAsia="zh-CN" w:bidi="ar-SA"/>
        </w:rPr>
        <w:t>（二）确定中标人：采用最低价法确定，报价最低的为第一中标人，以此类推排列出第二、第三中标人，如出现同等最低报价的，则以抽签的方式确定；</w:t>
      </w:r>
    </w:p>
    <w:p w14:paraId="28E9530E">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eastAsia" w:ascii="宋体" w:hAnsi="宋体" w:cs="Times New Roman"/>
          <w:color w:val="auto"/>
          <w:kern w:val="2"/>
          <w:sz w:val="28"/>
          <w:szCs w:val="28"/>
          <w:lang w:val="en-US" w:eastAsia="zh-CN" w:bidi="ar-SA"/>
        </w:rPr>
      </w:pPr>
      <w:r>
        <w:rPr>
          <w:rFonts w:hint="eastAsia" w:ascii="宋体" w:hAnsi="宋体" w:cs="Times New Roman"/>
          <w:color w:val="auto"/>
          <w:kern w:val="2"/>
          <w:sz w:val="28"/>
          <w:szCs w:val="28"/>
          <w:lang w:val="en-US" w:eastAsia="zh-CN" w:bidi="ar-SA"/>
        </w:rPr>
        <w:t>（三）不在有效报价范围内的作废标处理；</w:t>
      </w:r>
    </w:p>
    <w:p w14:paraId="3D567E0B">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lang w:val="en-US" w:eastAsia="zh-CN"/>
        </w:rPr>
      </w:pPr>
      <w:r>
        <w:rPr>
          <w:rFonts w:hint="eastAsia" w:cs="Times New Roman"/>
          <w:color w:val="000000" w:themeColor="text1"/>
          <w:sz w:val="28"/>
          <w:szCs w:val="28"/>
          <w:lang w:val="en-US" w:eastAsia="zh-CN"/>
          <w14:textFill>
            <w14:solidFill>
              <w14:schemeClr w14:val="tx1"/>
            </w14:solidFill>
          </w14:textFill>
        </w:rPr>
        <w:t>（四）本项目不收取投标保证金。</w:t>
      </w:r>
    </w:p>
    <w:p w14:paraId="145A853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Times New Roman"/>
          <w:b/>
          <w:bCs/>
          <w:color w:val="auto"/>
          <w:kern w:val="2"/>
          <w:sz w:val="28"/>
          <w:szCs w:val="28"/>
          <w:lang w:val="en-US" w:eastAsia="zh-CN" w:bidi="ar-SA"/>
        </w:rPr>
      </w:pPr>
      <w:r>
        <w:rPr>
          <w:rFonts w:hint="eastAsia" w:eastAsia="宋体" w:cs="Times New Roman"/>
          <w:color w:val="000000" w:themeColor="text1"/>
          <w:sz w:val="28"/>
          <w:szCs w:val="28"/>
          <w:highlight w:val="none"/>
          <w:lang w:val="en-US" w:eastAsia="zh-CN"/>
          <w14:textFill>
            <w14:solidFill>
              <w14:schemeClr w14:val="tx1"/>
            </w14:solidFill>
          </w14:textFill>
        </w:rPr>
        <w:t>（五）根据水利部《生产建设项目水土保持方案管理办法》第二十二条的规定，水土保持</w:t>
      </w:r>
      <w:r>
        <w:rPr>
          <w:rFonts w:hint="eastAsia" w:cs="Times New Roman"/>
          <w:color w:val="000000" w:themeColor="text1"/>
          <w:sz w:val="28"/>
          <w:szCs w:val="28"/>
          <w:highlight w:val="none"/>
          <w:lang w:val="en-US" w:eastAsia="zh-CN"/>
          <w14:textFill>
            <w14:solidFill>
              <w14:schemeClr w14:val="tx1"/>
            </w14:solidFill>
          </w14:textFill>
        </w:rPr>
        <w:t>验收</w:t>
      </w:r>
      <w:r>
        <w:rPr>
          <w:rFonts w:hint="eastAsia" w:eastAsia="宋体" w:cs="Times New Roman"/>
          <w:color w:val="000000" w:themeColor="text1"/>
          <w:sz w:val="28"/>
          <w:szCs w:val="28"/>
          <w:highlight w:val="none"/>
          <w:lang w:val="en-US" w:eastAsia="zh-CN"/>
          <w14:textFill>
            <w14:solidFill>
              <w14:schemeClr w14:val="tx1"/>
            </w14:solidFill>
          </w14:textFill>
        </w:rPr>
        <w:t>单位不得作为该生产建设项目水土保持</w:t>
      </w:r>
      <w:r>
        <w:rPr>
          <w:rFonts w:hint="eastAsia" w:cs="Times New Roman"/>
          <w:color w:val="000000" w:themeColor="text1"/>
          <w:sz w:val="28"/>
          <w:szCs w:val="28"/>
          <w:highlight w:val="none"/>
          <w:lang w:val="en-US" w:eastAsia="zh-CN"/>
          <w14:textFill>
            <w14:solidFill>
              <w14:schemeClr w14:val="tx1"/>
            </w14:solidFill>
          </w14:textFill>
        </w:rPr>
        <w:t>检测</w:t>
      </w:r>
      <w:r>
        <w:rPr>
          <w:rFonts w:hint="eastAsia" w:eastAsia="宋体" w:cs="Times New Roman"/>
          <w:color w:val="000000" w:themeColor="text1"/>
          <w:sz w:val="28"/>
          <w:szCs w:val="28"/>
          <w:highlight w:val="none"/>
          <w:lang w:val="en-US" w:eastAsia="zh-CN"/>
          <w14:textFill>
            <w14:solidFill>
              <w14:schemeClr w14:val="tx1"/>
            </w14:solidFill>
          </w14:textFill>
        </w:rPr>
        <w:t>的第三方机构，即已中标项目水土保持</w:t>
      </w:r>
      <w:r>
        <w:rPr>
          <w:rFonts w:hint="eastAsia" w:cs="Times New Roman"/>
          <w:color w:val="000000" w:themeColor="text1"/>
          <w:sz w:val="28"/>
          <w:szCs w:val="28"/>
          <w:highlight w:val="none"/>
          <w:lang w:val="en-US" w:eastAsia="zh-CN"/>
          <w14:textFill>
            <w14:solidFill>
              <w14:schemeClr w14:val="tx1"/>
            </w14:solidFill>
          </w14:textFill>
        </w:rPr>
        <w:t>监测</w:t>
      </w:r>
      <w:r>
        <w:rPr>
          <w:rFonts w:hint="eastAsia" w:eastAsia="宋体" w:cs="Times New Roman"/>
          <w:color w:val="000000" w:themeColor="text1"/>
          <w:sz w:val="28"/>
          <w:szCs w:val="28"/>
          <w:highlight w:val="none"/>
          <w:lang w:val="en-US" w:eastAsia="zh-CN"/>
          <w14:textFill>
            <w14:solidFill>
              <w14:schemeClr w14:val="tx1"/>
            </w14:solidFill>
          </w14:textFill>
        </w:rPr>
        <w:t>服务的单位可以参加本次采购活动，但不能作为本次招标项目</w:t>
      </w:r>
      <w:r>
        <w:rPr>
          <w:rFonts w:hint="eastAsia" w:cs="Times New Roman"/>
          <w:color w:val="000000" w:themeColor="text1"/>
          <w:sz w:val="28"/>
          <w:szCs w:val="28"/>
          <w:highlight w:val="none"/>
          <w:lang w:val="en-US" w:eastAsia="zh-CN"/>
          <w14:textFill>
            <w14:solidFill>
              <w14:schemeClr w14:val="tx1"/>
            </w14:solidFill>
          </w14:textFill>
        </w:rPr>
        <w:t>水土保持验收</w:t>
      </w:r>
      <w:r>
        <w:rPr>
          <w:rFonts w:hint="eastAsia" w:eastAsia="宋体" w:cs="Times New Roman"/>
          <w:color w:val="000000" w:themeColor="text1"/>
          <w:sz w:val="28"/>
          <w:szCs w:val="28"/>
          <w:highlight w:val="none"/>
          <w:lang w:val="en-US" w:eastAsia="zh-CN"/>
          <w14:textFill>
            <w14:solidFill>
              <w14:schemeClr w14:val="tx1"/>
            </w14:solidFill>
          </w14:textFill>
        </w:rPr>
        <w:t>的中标单位。如是已中标水土</w:t>
      </w:r>
      <w:r>
        <w:rPr>
          <w:rFonts w:hint="eastAsia" w:cs="Times New Roman"/>
          <w:color w:val="000000" w:themeColor="text1"/>
          <w:sz w:val="28"/>
          <w:szCs w:val="28"/>
          <w:highlight w:val="none"/>
          <w:lang w:val="en-US" w:eastAsia="zh-CN"/>
          <w14:textFill>
            <w14:solidFill>
              <w14:schemeClr w14:val="tx1"/>
            </w14:solidFill>
          </w14:textFill>
        </w:rPr>
        <w:t>监测</w:t>
      </w:r>
      <w:r>
        <w:rPr>
          <w:rFonts w:hint="eastAsia" w:eastAsia="宋体" w:cs="Times New Roman"/>
          <w:color w:val="000000" w:themeColor="text1"/>
          <w:sz w:val="28"/>
          <w:szCs w:val="28"/>
          <w:highlight w:val="none"/>
          <w:lang w:val="en-US" w:eastAsia="zh-CN"/>
          <w14:textFill>
            <w14:solidFill>
              <w14:schemeClr w14:val="tx1"/>
            </w14:solidFill>
          </w14:textFill>
        </w:rPr>
        <w:t>服务单位参加本次投标活动且报价最低的，取消其中标资格，延顺第二名为本次采购活动的中标单位。</w:t>
      </w:r>
    </w:p>
    <w:p w14:paraId="58DA74A4">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Times New Roman"/>
          <w:b/>
          <w:bCs/>
          <w:color w:val="auto"/>
          <w:kern w:val="2"/>
          <w:sz w:val="28"/>
          <w:szCs w:val="28"/>
          <w:lang w:val="en-US" w:eastAsia="zh-CN" w:bidi="ar-SA"/>
        </w:rPr>
      </w:pPr>
      <w:r>
        <w:rPr>
          <w:rFonts w:hint="eastAsia" w:ascii="宋体" w:hAnsi="宋体" w:eastAsia="宋体" w:cs="Times New Roman"/>
          <w:b/>
          <w:bCs/>
          <w:color w:val="auto"/>
          <w:kern w:val="2"/>
          <w:sz w:val="28"/>
          <w:szCs w:val="28"/>
          <w:lang w:val="en-US" w:eastAsia="zh-CN" w:bidi="ar-SA"/>
        </w:rPr>
        <w:t>八、报价文件按以下资料提交</w:t>
      </w:r>
    </w:p>
    <w:p w14:paraId="799AA19C">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（一）</w:t>
      </w:r>
      <w:r>
        <w:rPr>
          <w:rFonts w:hint="default" w:ascii="宋体" w:hAnsi="宋体" w:eastAsia="宋体" w:cs="Times New Roman"/>
          <w:color w:val="auto"/>
          <w:kern w:val="2"/>
          <w:sz w:val="28"/>
          <w:szCs w:val="28"/>
          <w:lang w:val="en-US" w:eastAsia="zh-CN" w:bidi="ar-SA"/>
        </w:rPr>
        <w:t>报价表；</w:t>
      </w:r>
    </w:p>
    <w:p w14:paraId="66733824">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（二）</w:t>
      </w:r>
      <w:r>
        <w:rPr>
          <w:rFonts w:hint="default" w:ascii="宋体" w:hAnsi="宋体" w:eastAsia="宋体" w:cs="Times New Roman"/>
          <w:color w:val="auto"/>
          <w:kern w:val="2"/>
          <w:sz w:val="28"/>
          <w:szCs w:val="28"/>
          <w:lang w:val="en-US" w:eastAsia="zh-CN" w:bidi="ar-SA"/>
        </w:rPr>
        <w:t>企业营业执照复印件；　</w:t>
      </w:r>
    </w:p>
    <w:p w14:paraId="0013383E">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default"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（三）</w:t>
      </w:r>
      <w:r>
        <w:rPr>
          <w:rFonts w:hint="default" w:ascii="宋体" w:hAnsi="宋体" w:eastAsia="宋体" w:cs="Times New Roman"/>
          <w:color w:val="auto"/>
          <w:kern w:val="2"/>
          <w:sz w:val="28"/>
          <w:szCs w:val="28"/>
          <w:lang w:val="en-US" w:eastAsia="zh-CN" w:bidi="ar-SA"/>
        </w:rPr>
        <w:t>法定代表人递交文件，持本人身份证原件及复印件；如为授权委托人递交文件，须提供授权委托书原件和法定代表人身份证复印件及受托人身份证复印件；</w:t>
      </w:r>
    </w:p>
    <w:p w14:paraId="541F7285">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default" w:ascii="宋体" w:hAnsi="宋体" w:eastAsia="宋体" w:cs="Times New Roman"/>
          <w:color w:val="auto"/>
          <w:kern w:val="2"/>
          <w:sz w:val="28"/>
          <w:szCs w:val="28"/>
          <w:lang w:val="en-US" w:eastAsia="zh-CN" w:bidi="ar-SA"/>
        </w:rPr>
      </w:pPr>
      <w:r>
        <w:rPr>
          <w:rFonts w:hint="eastAsia" w:ascii="宋体" w:hAnsi="宋体" w:cs="Times New Roman"/>
          <w:color w:val="auto"/>
          <w:kern w:val="2"/>
          <w:sz w:val="28"/>
          <w:szCs w:val="28"/>
          <w:lang w:val="en-US" w:eastAsia="zh-CN" w:bidi="ar-SA"/>
        </w:rPr>
        <w:t>（四）</w:t>
      </w:r>
      <w:r>
        <w:rPr>
          <w:rFonts w:hint="default" w:ascii="宋体" w:hAnsi="宋体" w:eastAsia="宋体" w:cs="Times New Roman"/>
          <w:color w:val="auto"/>
          <w:kern w:val="2"/>
          <w:sz w:val="28"/>
          <w:szCs w:val="28"/>
          <w:lang w:val="en-US" w:eastAsia="zh-CN" w:bidi="ar-SA"/>
        </w:rPr>
        <w:t>全国投资项目在线审批监管平台备案</w:t>
      </w:r>
      <w:r>
        <w:rPr>
          <w:rFonts w:hint="eastAsia" w:ascii="宋体" w:hAnsi="宋体" w:eastAsia="宋体" w:cs="Times New Roman"/>
          <w:color w:val="auto"/>
          <w:kern w:val="2"/>
          <w:sz w:val="28"/>
          <w:szCs w:val="28"/>
          <w:lang w:val="en-US" w:eastAsia="zh-CN" w:bidi="ar-SA"/>
        </w:rPr>
        <w:t>截图</w:t>
      </w:r>
      <w:r>
        <w:rPr>
          <w:rFonts w:hint="eastAsia" w:ascii="宋体" w:hAnsi="宋体" w:cs="Times New Roman"/>
          <w:color w:val="auto"/>
          <w:kern w:val="2"/>
          <w:sz w:val="28"/>
          <w:szCs w:val="28"/>
          <w:lang w:val="en-US" w:eastAsia="zh-CN" w:bidi="ar-SA"/>
        </w:rPr>
        <w:t>复印件；</w:t>
      </w:r>
    </w:p>
    <w:p w14:paraId="67520C4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宋体" w:hAnsi="宋体" w:eastAsia="宋体" w:cs="Times New Roman"/>
          <w:color w:val="auto"/>
          <w:kern w:val="2"/>
          <w:sz w:val="28"/>
          <w:szCs w:val="28"/>
          <w:lang w:val="en-US" w:eastAsia="zh-CN" w:bidi="ar-SA"/>
        </w:rPr>
      </w:pPr>
      <w:r>
        <w:rPr>
          <w:rFonts w:hint="default" w:ascii="宋体" w:hAnsi="宋体" w:eastAsia="宋体" w:cs="Times New Roman"/>
          <w:color w:val="auto"/>
          <w:kern w:val="2"/>
          <w:sz w:val="28"/>
          <w:szCs w:val="28"/>
          <w:lang w:val="en-US" w:eastAsia="zh-CN" w:bidi="ar-SA"/>
        </w:rPr>
        <w:t>　</w:t>
      </w:r>
      <w:r>
        <w:rPr>
          <w:rFonts w:hint="eastAsia" w:ascii="宋体" w:hAnsi="宋体" w:eastAsia="宋体" w:cs="Times New Roman"/>
          <w:color w:val="auto"/>
          <w:kern w:val="2"/>
          <w:sz w:val="28"/>
          <w:szCs w:val="28"/>
          <w:lang w:val="en-US" w:eastAsia="zh-CN" w:bidi="ar-SA"/>
        </w:rPr>
        <w:t>注：以上资料每页需加盖公章，然后装订成册加盖骑缝，报价文件需用文件袋密封后加盖公章，不按编制要求编制的报价文件无效。</w:t>
      </w:r>
    </w:p>
    <w:p w14:paraId="63F1F840">
      <w:pPr>
        <w:pStyle w:val="6"/>
        <w:keepNext w:val="0"/>
        <w:keepLines w:val="0"/>
        <w:pageBreakBefore w:val="0"/>
        <w:widowControl w:val="0"/>
        <w:kinsoku/>
        <w:wordWrap/>
        <w:overflowPunct/>
        <w:topLinePunct w:val="0"/>
        <w:autoSpaceDE/>
        <w:autoSpaceDN/>
        <w:bidi w:val="0"/>
        <w:adjustRightInd/>
        <w:snapToGrid/>
        <w:spacing w:line="600" w:lineRule="exact"/>
        <w:ind w:firstLine="562" w:firstLineChars="200"/>
        <w:jc w:val="left"/>
        <w:textAlignment w:val="auto"/>
        <w:rPr>
          <w:rFonts w:hint="eastAsia" w:hAnsi="宋体" w:eastAsia="宋体" w:cs="Times New Roman"/>
          <w:b/>
          <w:bCs/>
          <w:color w:val="auto"/>
          <w:kern w:val="2"/>
          <w:sz w:val="28"/>
          <w:szCs w:val="28"/>
          <w:highlight w:val="none"/>
          <w:lang w:val="en-US" w:eastAsia="zh-CN" w:bidi="ar-SA"/>
        </w:rPr>
      </w:pPr>
      <w:r>
        <w:rPr>
          <w:rFonts w:hint="eastAsia" w:hAnsi="宋体" w:eastAsia="宋体" w:cs="Times New Roman"/>
          <w:b/>
          <w:bCs/>
          <w:color w:val="auto"/>
          <w:kern w:val="2"/>
          <w:sz w:val="28"/>
          <w:szCs w:val="28"/>
          <w:highlight w:val="none"/>
          <w:lang w:val="en-US" w:eastAsia="zh-CN" w:bidi="ar-SA"/>
        </w:rPr>
        <w:t>九、响应文件递交截止时间和地点</w:t>
      </w:r>
    </w:p>
    <w:p w14:paraId="29061CAB">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响应文件必须以密封形式于202</w:t>
      </w:r>
      <w:r>
        <w:rPr>
          <w:rFonts w:hint="eastAsia" w:ascii="宋体" w:hAnsi="宋体" w:cs="Times New Roman"/>
          <w:color w:val="auto"/>
          <w:kern w:val="2"/>
          <w:sz w:val="28"/>
          <w:szCs w:val="28"/>
          <w:lang w:val="en-US" w:eastAsia="zh-CN" w:bidi="ar-SA"/>
        </w:rPr>
        <w:t>5</w:t>
      </w:r>
      <w:r>
        <w:rPr>
          <w:rFonts w:hint="eastAsia" w:ascii="宋体" w:hAnsi="宋体" w:eastAsia="宋体" w:cs="Times New Roman"/>
          <w:color w:val="auto"/>
          <w:kern w:val="2"/>
          <w:sz w:val="28"/>
          <w:szCs w:val="28"/>
          <w:lang w:val="en-US" w:eastAsia="zh-CN" w:bidi="ar-SA"/>
        </w:rPr>
        <w:t>年</w:t>
      </w:r>
      <w:r>
        <w:rPr>
          <w:rFonts w:hint="eastAsia" w:ascii="宋体" w:hAnsi="宋体" w:cs="Times New Roman"/>
          <w:color w:val="auto"/>
          <w:kern w:val="2"/>
          <w:sz w:val="28"/>
          <w:szCs w:val="28"/>
          <w:u w:val="single"/>
          <w:lang w:val="en-US" w:eastAsia="zh-CN" w:bidi="ar-SA"/>
        </w:rPr>
        <w:t>5</w:t>
      </w:r>
      <w:r>
        <w:rPr>
          <w:rFonts w:hint="eastAsia" w:ascii="宋体" w:hAnsi="宋体" w:eastAsia="宋体" w:cs="Times New Roman"/>
          <w:color w:val="auto"/>
          <w:kern w:val="2"/>
          <w:sz w:val="28"/>
          <w:szCs w:val="28"/>
          <w:lang w:val="en-US" w:eastAsia="zh-CN" w:bidi="ar-SA"/>
        </w:rPr>
        <w:t>月</w:t>
      </w:r>
      <w:r>
        <w:rPr>
          <w:rFonts w:hint="eastAsia" w:ascii="宋体" w:hAnsi="宋体" w:cs="Times New Roman"/>
          <w:color w:val="auto"/>
          <w:kern w:val="2"/>
          <w:sz w:val="28"/>
          <w:szCs w:val="28"/>
          <w:u w:val="single"/>
          <w:lang w:val="en-US" w:eastAsia="zh-CN" w:bidi="ar-SA"/>
        </w:rPr>
        <w:t>28</w:t>
      </w:r>
      <w:r>
        <w:rPr>
          <w:rFonts w:hint="eastAsia" w:ascii="宋体" w:hAnsi="宋体" w:eastAsia="宋体" w:cs="Times New Roman"/>
          <w:color w:val="auto"/>
          <w:kern w:val="2"/>
          <w:sz w:val="28"/>
          <w:szCs w:val="28"/>
          <w:lang w:val="en-US" w:eastAsia="zh-CN" w:bidi="ar-SA"/>
        </w:rPr>
        <w:t>日17:00时前在河池市城乡建设投资集团有限公司2楼208室采购招标部（河池市金城江区金碧路25号）递交，逾期不受理。注：</w:t>
      </w:r>
    </w:p>
    <w:p w14:paraId="2031A58E">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（1）文件封面：标题为报价文件；投标单位名称（加盖单位公章）；投标项目名称；项目编号；投标文件递交日期；</w:t>
      </w:r>
    </w:p>
    <w:p w14:paraId="367510AD">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lang w:val="en-US" w:eastAsia="zh-CN" w:bidi="ar-SA"/>
        </w:rPr>
        <w:t>（2）密封要求：投标文件密封袋的封口处应加贴封条并加盖投标单位公章或密封章。</w:t>
      </w:r>
    </w:p>
    <w:p w14:paraId="37159964">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宋体"/>
          <w:b/>
          <w:bCs/>
          <w:color w:val="auto"/>
          <w:kern w:val="2"/>
          <w:sz w:val="28"/>
          <w:szCs w:val="28"/>
          <w:lang w:val="en-US" w:eastAsia="zh-CN" w:bidi="ar-SA"/>
        </w:rPr>
      </w:pPr>
      <w:r>
        <w:rPr>
          <w:rFonts w:hint="eastAsia" w:ascii="宋体" w:hAnsi="宋体" w:eastAsia="宋体" w:cs="Times New Roman"/>
          <w:b/>
          <w:bCs/>
          <w:color w:val="auto"/>
          <w:kern w:val="2"/>
          <w:sz w:val="28"/>
          <w:szCs w:val="28"/>
          <w:lang w:val="en-US" w:eastAsia="zh-CN" w:bidi="ar-SA"/>
        </w:rPr>
        <w:t>十、</w:t>
      </w:r>
      <w:r>
        <w:rPr>
          <w:rFonts w:hint="eastAsia" w:ascii="宋体" w:hAnsi="宋体" w:eastAsia="宋体" w:cs="宋体"/>
          <w:b/>
          <w:bCs/>
          <w:color w:val="auto"/>
          <w:kern w:val="2"/>
          <w:sz w:val="28"/>
          <w:szCs w:val="28"/>
          <w:lang w:val="en-US" w:eastAsia="zh-CN" w:bidi="ar-SA"/>
        </w:rPr>
        <w:t>合同签定</w:t>
      </w:r>
    </w:p>
    <w:p w14:paraId="532371E3">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签定合同时，按第一中标人投标报价作为合同价进行签约，第一中标人接到中标通知书后应在五个工作日内完成签约，如不能按时完成签约，或因不可抗力提出不能履行合同、因失信行为被取消中标资格的，采购人可以确定排名第二的中标候选人为中标人或重新招标，并依此类推。</w:t>
      </w:r>
    </w:p>
    <w:p w14:paraId="72C8A747">
      <w:pPr>
        <w:keepNext w:val="0"/>
        <w:keepLines w:val="0"/>
        <w:pageBreakBefore w:val="0"/>
        <w:widowControl w:val="0"/>
        <w:kinsoku/>
        <w:wordWrap/>
        <w:overflowPunct/>
        <w:topLinePunct w:val="0"/>
        <w:autoSpaceDE/>
        <w:autoSpaceDN/>
        <w:bidi w:val="0"/>
        <w:adjustRightInd/>
        <w:spacing w:line="600" w:lineRule="exact"/>
        <w:ind w:firstLine="562" w:firstLineChars="200"/>
        <w:textAlignment w:val="auto"/>
        <w:rPr>
          <w:rFonts w:hAnsi="宋体"/>
          <w:b/>
          <w:bCs/>
          <w:color w:val="000000"/>
        </w:rPr>
      </w:pPr>
      <w:r>
        <w:rPr>
          <w:rFonts w:hint="eastAsia" w:ascii="宋体" w:hAnsi="宋体" w:cs="Times New Roman"/>
          <w:b/>
          <w:bCs/>
          <w:color w:val="auto"/>
          <w:kern w:val="2"/>
          <w:sz w:val="28"/>
          <w:szCs w:val="28"/>
          <w:lang w:val="en-US" w:eastAsia="zh-CN" w:bidi="ar-SA"/>
        </w:rPr>
        <w:t>十一、</w:t>
      </w:r>
      <w:r>
        <w:rPr>
          <w:rFonts w:hint="eastAsia" w:ascii="宋体" w:hAnsi="宋体" w:eastAsia="宋体" w:cs="Times New Roman"/>
          <w:b/>
          <w:bCs/>
          <w:color w:val="auto"/>
          <w:kern w:val="2"/>
          <w:sz w:val="28"/>
          <w:szCs w:val="28"/>
          <w:lang w:val="en-US" w:eastAsia="zh-CN" w:bidi="ar-SA"/>
        </w:rPr>
        <w:t>联系事项：</w:t>
      </w:r>
    </w:p>
    <w:p w14:paraId="30A2162D">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采购人名称：</w:t>
      </w:r>
      <w:r>
        <w:rPr>
          <w:rFonts w:hint="eastAsia" w:ascii="宋体" w:hAnsi="宋体" w:eastAsia="宋体" w:cs="Times New Roman"/>
          <w:color w:val="auto"/>
          <w:kern w:val="2"/>
          <w:sz w:val="28"/>
          <w:szCs w:val="28"/>
          <w:lang w:val="en-US" w:eastAsia="zh-CN" w:bidi="ar-SA"/>
        </w:rPr>
        <w:t xml:space="preserve">河池市城乡建设投资集团有限公司   </w:t>
      </w:r>
      <w:r>
        <w:rPr>
          <w:rFonts w:hint="eastAsia" w:ascii="宋体" w:hAnsi="宋体" w:eastAsia="宋体" w:cs="Times New Roman"/>
          <w:color w:val="auto"/>
          <w:kern w:val="2"/>
          <w:sz w:val="28"/>
          <w:szCs w:val="28"/>
          <w:highlight w:val="none"/>
          <w:lang w:val="en-US" w:eastAsia="zh-CN" w:bidi="ar-SA"/>
        </w:rPr>
        <w:t xml:space="preserve">       </w:t>
      </w:r>
    </w:p>
    <w:p w14:paraId="6A86E0A3">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地      址：</w:t>
      </w:r>
      <w:r>
        <w:rPr>
          <w:rFonts w:hint="eastAsia" w:ascii="宋体" w:hAnsi="宋体" w:eastAsia="宋体" w:cs="Times New Roman"/>
          <w:color w:val="auto"/>
          <w:kern w:val="2"/>
          <w:sz w:val="28"/>
          <w:szCs w:val="28"/>
          <w:lang w:val="en-US" w:eastAsia="zh-CN" w:bidi="ar-SA"/>
        </w:rPr>
        <w:t>河池市金城江区金碧路25号</w:t>
      </w:r>
      <w:r>
        <w:rPr>
          <w:rFonts w:hint="eastAsia" w:ascii="宋体" w:hAnsi="宋体" w:eastAsia="宋体" w:cs="Times New Roman"/>
          <w:color w:val="auto"/>
          <w:kern w:val="2"/>
          <w:sz w:val="28"/>
          <w:szCs w:val="28"/>
          <w:highlight w:val="none"/>
          <w:lang w:val="en-US" w:eastAsia="zh-CN" w:bidi="ar-SA"/>
        </w:rPr>
        <w:t xml:space="preserve">             </w:t>
      </w:r>
    </w:p>
    <w:p w14:paraId="1BDCFA3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联  系  人：韦 工</w:t>
      </w:r>
    </w:p>
    <w:p w14:paraId="46C7CBAB">
      <w:pPr>
        <w:pStyle w:val="3"/>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 xml:space="preserve">电      话：0778-2107058     </w:t>
      </w:r>
    </w:p>
    <w:p w14:paraId="2612D955">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eastAsia" w:ascii="宋体" w:hAnsi="宋体" w:eastAsia="宋体" w:cs="Times New Roman"/>
          <w:color w:val="auto"/>
          <w:kern w:val="2"/>
          <w:sz w:val="28"/>
          <w:szCs w:val="28"/>
          <w:lang w:val="en-US" w:eastAsia="zh-CN" w:bidi="ar-SA"/>
        </w:rPr>
      </w:pPr>
    </w:p>
    <w:p w14:paraId="7038AC47">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附件：</w:t>
      </w:r>
      <w:r>
        <w:rPr>
          <w:rFonts w:hint="eastAsia" w:ascii="宋体" w:hAnsi="宋体" w:cs="Times New Roman"/>
          <w:color w:val="auto"/>
          <w:kern w:val="2"/>
          <w:sz w:val="28"/>
          <w:szCs w:val="28"/>
          <w:lang w:val="en-US" w:eastAsia="zh-CN" w:bidi="ar-SA"/>
        </w:rPr>
        <w:t>1、</w:t>
      </w:r>
      <w:r>
        <w:rPr>
          <w:rFonts w:hint="eastAsia" w:ascii="宋体" w:hAnsi="宋体" w:eastAsia="宋体" w:cs="Times New Roman"/>
          <w:color w:val="auto"/>
          <w:kern w:val="2"/>
          <w:sz w:val="28"/>
          <w:szCs w:val="28"/>
          <w:lang w:val="en-US" w:eastAsia="zh-CN" w:bidi="ar-SA"/>
        </w:rPr>
        <w:t>报价表</w:t>
      </w:r>
    </w:p>
    <w:p w14:paraId="3789169E">
      <w:pPr>
        <w:pStyle w:val="7"/>
        <w:keepNext w:val="0"/>
        <w:keepLines w:val="0"/>
        <w:pageBreakBefore w:val="0"/>
        <w:widowControl w:val="0"/>
        <w:kinsoku/>
        <w:wordWrap/>
        <w:overflowPunct/>
        <w:topLinePunct w:val="0"/>
        <w:autoSpaceDE/>
        <w:autoSpaceDN/>
        <w:bidi w:val="0"/>
        <w:adjustRightInd/>
        <w:spacing w:line="600" w:lineRule="exact"/>
        <w:ind w:firstLine="1400" w:firstLineChars="500"/>
        <w:textAlignment w:val="auto"/>
        <w:rPr>
          <w:rFonts w:hint="default"/>
          <w:lang w:val="en-US" w:eastAsia="zh-CN"/>
        </w:rPr>
      </w:pPr>
      <w:r>
        <w:rPr>
          <w:rFonts w:hint="eastAsia" w:hAnsi="宋体" w:cs="Times New Roman"/>
          <w:color w:val="auto"/>
          <w:kern w:val="2"/>
          <w:sz w:val="28"/>
          <w:szCs w:val="28"/>
          <w:lang w:val="en-US" w:eastAsia="zh-CN" w:bidi="ar-SA"/>
        </w:rPr>
        <w:t>2、合同范本</w:t>
      </w:r>
    </w:p>
    <w:p w14:paraId="50B58228">
      <w:pPr>
        <w:keepNext w:val="0"/>
        <w:keepLines w:val="0"/>
        <w:pageBreakBefore w:val="0"/>
        <w:widowControl w:val="0"/>
        <w:kinsoku/>
        <w:wordWrap/>
        <w:overflowPunct/>
        <w:topLinePunct w:val="0"/>
        <w:autoSpaceDE/>
        <w:autoSpaceDN/>
        <w:bidi w:val="0"/>
        <w:adjustRightInd/>
        <w:spacing w:line="600" w:lineRule="exact"/>
        <w:jc w:val="left"/>
        <w:textAlignment w:val="auto"/>
        <w:rPr>
          <w:rFonts w:hint="eastAsia" w:ascii="宋体" w:hAnsi="宋体" w:eastAsia="宋体" w:cs="Times New Roman"/>
          <w:color w:val="auto"/>
          <w:kern w:val="2"/>
          <w:sz w:val="28"/>
          <w:szCs w:val="28"/>
          <w:lang w:val="en-US" w:eastAsia="zh-CN" w:bidi="ar-SA"/>
        </w:rPr>
      </w:pPr>
    </w:p>
    <w:p w14:paraId="33148353">
      <w:pPr>
        <w:pStyle w:val="3"/>
        <w:keepNext w:val="0"/>
        <w:keepLines w:val="0"/>
        <w:pageBreakBefore w:val="0"/>
        <w:widowControl w:val="0"/>
        <w:kinsoku/>
        <w:wordWrap/>
        <w:overflowPunct/>
        <w:topLinePunct w:val="0"/>
        <w:autoSpaceDN/>
        <w:bidi w:val="0"/>
        <w:adjustRightInd/>
        <w:spacing w:line="600" w:lineRule="exact"/>
        <w:textAlignment w:val="auto"/>
        <w:rPr>
          <w:rFonts w:hint="eastAsia"/>
          <w:lang w:val="en-US" w:eastAsia="zh-CN"/>
        </w:rPr>
      </w:pPr>
    </w:p>
    <w:p w14:paraId="0A5C3BA6">
      <w:pPr>
        <w:keepNext w:val="0"/>
        <w:keepLines w:val="0"/>
        <w:pageBreakBefore w:val="0"/>
        <w:widowControl w:val="0"/>
        <w:kinsoku/>
        <w:wordWrap/>
        <w:overflowPunct/>
        <w:topLinePunct w:val="0"/>
        <w:autoSpaceDE/>
        <w:autoSpaceDN/>
        <w:bidi w:val="0"/>
        <w:adjustRightInd/>
        <w:spacing w:line="600" w:lineRule="exact"/>
        <w:ind w:left="4751" w:leftChars="1729" w:hanging="1120" w:hangingChars="400"/>
        <w:jc w:val="left"/>
        <w:textAlignment w:val="auto"/>
        <w:rPr>
          <w:rFonts w:hint="eastAsia"/>
          <w:lang w:eastAsia="zh-CN"/>
        </w:rPr>
      </w:pPr>
      <w:r>
        <w:rPr>
          <w:rFonts w:hint="eastAsia" w:ascii="宋体" w:hAnsi="宋体" w:eastAsia="宋体" w:cs="Times New Roman"/>
          <w:color w:val="auto"/>
          <w:kern w:val="2"/>
          <w:sz w:val="28"/>
          <w:szCs w:val="28"/>
          <w:lang w:val="en-US" w:eastAsia="zh-CN" w:bidi="ar-SA"/>
        </w:rPr>
        <w:t>河池市城乡建设投资集团有限公司</w:t>
      </w:r>
      <w:r>
        <w:rPr>
          <w:rFonts w:hint="eastAsia" w:ascii="宋体" w:hAnsi="宋体" w:eastAsia="宋体" w:cs="Times New Roman"/>
          <w:color w:val="auto"/>
          <w:kern w:val="2"/>
          <w:sz w:val="28"/>
          <w:szCs w:val="28"/>
          <w:lang w:val="en-US" w:eastAsia="zh-CN" w:bidi="ar-SA"/>
        </w:rPr>
        <w:tab/>
      </w:r>
      <w:r>
        <w:rPr>
          <w:rFonts w:hint="eastAsia" w:ascii="宋体" w:hAnsi="宋体" w:eastAsia="宋体" w:cs="Times New Roman"/>
          <w:color w:val="auto"/>
          <w:kern w:val="2"/>
          <w:sz w:val="28"/>
          <w:szCs w:val="28"/>
          <w:lang w:val="en-US" w:eastAsia="zh-CN" w:bidi="ar-SA"/>
        </w:rPr>
        <w:t xml:space="preserve">                               202</w:t>
      </w:r>
      <w:r>
        <w:rPr>
          <w:rFonts w:hint="eastAsia" w:ascii="宋体" w:hAnsi="宋体" w:cs="Times New Roman"/>
          <w:color w:val="auto"/>
          <w:kern w:val="2"/>
          <w:sz w:val="28"/>
          <w:szCs w:val="28"/>
          <w:lang w:val="en-US" w:eastAsia="zh-CN" w:bidi="ar-SA"/>
        </w:rPr>
        <w:t>5</w:t>
      </w:r>
      <w:r>
        <w:rPr>
          <w:rFonts w:hint="eastAsia" w:ascii="宋体" w:hAnsi="宋体" w:eastAsia="宋体" w:cs="Times New Roman"/>
          <w:color w:val="auto"/>
          <w:kern w:val="2"/>
          <w:sz w:val="28"/>
          <w:szCs w:val="28"/>
          <w:lang w:val="en-US" w:eastAsia="zh-CN" w:bidi="ar-SA"/>
        </w:rPr>
        <w:t>年</w:t>
      </w:r>
      <w:r>
        <w:rPr>
          <w:rFonts w:hint="eastAsia" w:ascii="宋体" w:hAnsi="宋体" w:cs="Times New Roman"/>
          <w:color w:val="auto"/>
          <w:kern w:val="2"/>
          <w:sz w:val="28"/>
          <w:szCs w:val="28"/>
          <w:lang w:val="en-US" w:eastAsia="zh-CN" w:bidi="ar-SA"/>
        </w:rPr>
        <w:t>5</w:t>
      </w:r>
      <w:r>
        <w:rPr>
          <w:rFonts w:hint="eastAsia" w:ascii="宋体" w:hAnsi="宋体" w:eastAsia="宋体" w:cs="Times New Roman"/>
          <w:color w:val="auto"/>
          <w:kern w:val="2"/>
          <w:sz w:val="28"/>
          <w:szCs w:val="28"/>
          <w:lang w:val="en-US" w:eastAsia="zh-CN" w:bidi="ar-SA"/>
        </w:rPr>
        <w:t>月</w:t>
      </w:r>
      <w:r>
        <w:rPr>
          <w:rFonts w:hint="eastAsia" w:ascii="宋体" w:hAnsi="宋体" w:cs="Times New Roman"/>
          <w:color w:val="auto"/>
          <w:kern w:val="2"/>
          <w:sz w:val="28"/>
          <w:szCs w:val="28"/>
          <w:lang w:val="en-US" w:eastAsia="zh-CN" w:bidi="ar-SA"/>
        </w:rPr>
        <w:t>23</w:t>
      </w:r>
      <w:bookmarkStart w:id="1" w:name="_GoBack"/>
      <w:bookmarkEnd w:id="1"/>
      <w:r>
        <w:rPr>
          <w:rFonts w:hint="eastAsia" w:ascii="宋体" w:hAnsi="宋体" w:eastAsia="宋体" w:cs="Times New Roman"/>
          <w:color w:val="auto"/>
          <w:kern w:val="2"/>
          <w:sz w:val="28"/>
          <w:szCs w:val="28"/>
          <w:lang w:val="en-US" w:eastAsia="zh-CN" w:bidi="ar-SA"/>
        </w:rPr>
        <w:t>日</w:t>
      </w:r>
    </w:p>
    <w:p w14:paraId="0128AF80">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华文楷体" w:hAnsi="华文楷体" w:eastAsia="华文楷体" w:cs="华文楷体"/>
          <w:sz w:val="24"/>
          <w:szCs w:val="24"/>
          <w:lang w:eastAsia="zh-CN"/>
        </w:rPr>
      </w:pPr>
    </w:p>
    <w:p w14:paraId="392D79D8">
      <w:pPr>
        <w:pStyle w:val="3"/>
        <w:jc w:val="both"/>
        <w:rPr>
          <w:rFonts w:hint="eastAsia"/>
          <w:lang w:eastAsia="zh-CN"/>
        </w:rPr>
      </w:pPr>
    </w:p>
    <w:p w14:paraId="5A16BF59">
      <w:pPr>
        <w:rPr>
          <w:rFonts w:hint="eastAsia"/>
          <w:lang w:eastAsia="zh-CN"/>
        </w:rPr>
      </w:pPr>
    </w:p>
    <w:p w14:paraId="7EA4E11C">
      <w:pPr>
        <w:rPr>
          <w:rFonts w:hint="eastAsia"/>
          <w:lang w:eastAsia="zh-CN"/>
        </w:rPr>
      </w:pPr>
    </w:p>
    <w:p w14:paraId="6E1AE66F">
      <w:pPr>
        <w:rPr>
          <w:rFonts w:hint="eastAsia"/>
          <w:lang w:eastAsia="zh-CN"/>
        </w:rPr>
      </w:pPr>
    </w:p>
    <w:p w14:paraId="75C51758">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华文楷体" w:hAnsi="华文楷体" w:eastAsia="华文楷体" w:cs="华文楷体"/>
          <w:sz w:val="24"/>
          <w:szCs w:val="24"/>
          <w:lang w:val="en-US" w:eastAsia="zh-CN"/>
        </w:rPr>
      </w:pPr>
      <w:r>
        <w:rPr>
          <w:rFonts w:hint="eastAsia" w:ascii="华文楷体" w:hAnsi="华文楷体" w:eastAsia="华文楷体" w:cs="华文楷体"/>
          <w:sz w:val="24"/>
          <w:szCs w:val="24"/>
          <w:lang w:eastAsia="zh-CN"/>
        </w:rPr>
        <w:t>附件</w:t>
      </w:r>
      <w:r>
        <w:rPr>
          <w:rFonts w:hint="eastAsia" w:ascii="华文楷体" w:hAnsi="华文楷体" w:eastAsia="华文楷体" w:cs="华文楷体"/>
          <w:sz w:val="24"/>
          <w:szCs w:val="24"/>
          <w:lang w:val="en-US" w:eastAsia="zh-CN"/>
        </w:rPr>
        <w:t>1</w:t>
      </w:r>
    </w:p>
    <w:p w14:paraId="43B44C6B">
      <w:pPr>
        <w:pageBreakBefore w:val="0"/>
        <w:kinsoku/>
        <w:wordWrap/>
        <w:overflowPunct/>
        <w:topLinePunct w:val="0"/>
        <w:autoSpaceDE/>
        <w:autoSpaceDN/>
        <w:bidi w:val="0"/>
        <w:adjustRightInd/>
        <w:spacing w:line="600" w:lineRule="exact"/>
        <w:jc w:val="center"/>
        <w:textAlignment w:val="auto"/>
        <w:rPr>
          <w:rFonts w:hint="eastAsia" w:hAnsi="宋体" w:eastAsia="宋体" w:cs="Times New Roman"/>
          <w:color w:val="000000"/>
          <w:sz w:val="52"/>
          <w:szCs w:val="52"/>
        </w:rPr>
      </w:pPr>
      <w:r>
        <w:rPr>
          <w:rFonts w:hint="eastAsia" w:hAnsi="宋体" w:eastAsia="宋体" w:cs="Times New Roman"/>
          <w:color w:val="000000"/>
          <w:sz w:val="52"/>
          <w:szCs w:val="52"/>
        </w:rPr>
        <w:t>报价表</w:t>
      </w:r>
    </w:p>
    <w:p w14:paraId="115C3E6C">
      <w:pPr>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sz w:val="32"/>
          <w:szCs w:val="32"/>
        </w:rPr>
      </w:pPr>
    </w:p>
    <w:p w14:paraId="1AC6EECC">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hAnsi="宋体" w:eastAsia="宋体" w:cs="Times New Roman"/>
          <w:color w:val="000000"/>
          <w:sz w:val="32"/>
          <w:szCs w:val="32"/>
          <w:lang w:val="en-US" w:eastAsia="zh-CN"/>
        </w:rPr>
      </w:pPr>
      <w:r>
        <w:rPr>
          <w:rFonts w:hint="eastAsia" w:hAnsi="宋体" w:eastAsia="宋体" w:cs="Times New Roman"/>
          <w:color w:val="000000"/>
          <w:sz w:val="32"/>
          <w:szCs w:val="32"/>
          <w:lang w:eastAsia="zh-CN"/>
        </w:rPr>
        <w:t>投标</w:t>
      </w:r>
      <w:r>
        <w:rPr>
          <w:rFonts w:hint="eastAsia" w:hAnsi="宋体" w:eastAsia="宋体" w:cs="Times New Roman"/>
          <w:color w:val="000000"/>
          <w:sz w:val="32"/>
          <w:szCs w:val="32"/>
        </w:rPr>
        <w:t>单位（公章）：</w:t>
      </w:r>
      <w:r>
        <w:rPr>
          <w:rFonts w:hint="eastAsia" w:hAnsi="宋体" w:eastAsia="宋体" w:cs="Times New Roman"/>
          <w:color w:val="000000"/>
          <w:sz w:val="32"/>
          <w:szCs w:val="32"/>
          <w:u w:val="single"/>
        </w:rPr>
        <w:t xml:space="preserve">                                </w:t>
      </w:r>
      <w:r>
        <w:rPr>
          <w:rFonts w:hint="eastAsia" w:hAnsi="宋体" w:cs="Times New Roman"/>
          <w:color w:val="000000"/>
          <w:sz w:val="32"/>
          <w:szCs w:val="32"/>
          <w:u w:val="single"/>
          <w:lang w:val="en-US" w:eastAsia="zh-CN"/>
        </w:rPr>
        <w:t xml:space="preserve">      </w:t>
      </w:r>
    </w:p>
    <w:p w14:paraId="3E3C52B5">
      <w:pPr>
        <w:keepNext w:val="0"/>
        <w:keepLines w:val="0"/>
        <w:pageBreakBefore w:val="0"/>
        <w:widowControl w:val="0"/>
        <w:kinsoku/>
        <w:wordWrap/>
        <w:overflowPunct/>
        <w:topLinePunct w:val="0"/>
        <w:autoSpaceDE/>
        <w:autoSpaceDN/>
        <w:bidi w:val="0"/>
        <w:adjustRightInd/>
        <w:snapToGrid/>
        <w:spacing w:line="520" w:lineRule="exact"/>
        <w:ind w:left="1600" w:hanging="1600" w:hangingChars="500"/>
        <w:textAlignment w:val="auto"/>
        <w:rPr>
          <w:rFonts w:hint="eastAsia" w:hAnsi="宋体" w:eastAsia="宋体" w:cs="Times New Roman"/>
          <w:color w:val="000000"/>
          <w:sz w:val="32"/>
          <w:szCs w:val="32"/>
        </w:rPr>
      </w:pPr>
    </w:p>
    <w:p w14:paraId="178C53BD">
      <w:pPr>
        <w:pStyle w:val="3"/>
        <w:rPr>
          <w:rFonts w:hint="eastAsia"/>
        </w:rPr>
      </w:pPr>
    </w:p>
    <w:p w14:paraId="7A2A03E4">
      <w:pPr>
        <w:keepNext w:val="0"/>
        <w:keepLines w:val="0"/>
        <w:pageBreakBefore w:val="0"/>
        <w:widowControl w:val="0"/>
        <w:kinsoku/>
        <w:wordWrap/>
        <w:overflowPunct/>
        <w:topLinePunct w:val="0"/>
        <w:autoSpaceDE/>
        <w:autoSpaceDN/>
        <w:bidi w:val="0"/>
        <w:adjustRightInd/>
        <w:snapToGrid/>
        <w:spacing w:line="600" w:lineRule="exact"/>
        <w:ind w:left="1600" w:hanging="1600" w:hangingChars="500"/>
        <w:textAlignment w:val="auto"/>
        <w:rPr>
          <w:rFonts w:hint="eastAsia" w:ascii="宋体" w:hAnsi="宋体" w:eastAsia="宋体" w:cs="Times New Roman"/>
          <w:color w:val="auto"/>
          <w:sz w:val="28"/>
          <w:szCs w:val="28"/>
          <w:lang w:val="en-US" w:eastAsia="zh-CN"/>
        </w:rPr>
      </w:pPr>
      <w:r>
        <w:rPr>
          <w:rFonts w:hint="eastAsia" w:hAnsi="宋体" w:eastAsia="宋体" w:cs="Times New Roman"/>
          <w:color w:val="000000"/>
          <w:sz w:val="32"/>
          <w:szCs w:val="32"/>
        </w:rPr>
        <w:t>项目名称：</w:t>
      </w:r>
      <w:r>
        <w:rPr>
          <w:rFonts w:hint="eastAsia" w:hAnsi="宋体" w:eastAsia="宋体" w:cs="Times New Roman"/>
          <w:color w:val="000000"/>
          <w:sz w:val="32"/>
          <w:szCs w:val="32"/>
          <w:u w:val="single"/>
          <w:lang w:val="en-US" w:eastAsia="zh-CN"/>
        </w:rPr>
        <w:t>河池市金城江城区排水防涝管网工程（水土保持验收）</w:t>
      </w:r>
    </w:p>
    <w:p w14:paraId="418EF29B">
      <w:pPr>
        <w:keepNext w:val="0"/>
        <w:keepLines w:val="0"/>
        <w:pageBreakBefore w:val="0"/>
        <w:widowControl w:val="0"/>
        <w:kinsoku/>
        <w:wordWrap/>
        <w:overflowPunct/>
        <w:topLinePunct w:val="0"/>
        <w:autoSpaceDE/>
        <w:autoSpaceDN/>
        <w:bidi w:val="0"/>
        <w:adjustRightInd/>
        <w:snapToGrid/>
        <w:spacing w:line="520" w:lineRule="exact"/>
        <w:ind w:left="1600" w:hanging="1600" w:hangingChars="500"/>
        <w:textAlignment w:val="auto"/>
        <w:rPr>
          <w:rFonts w:hint="eastAsia" w:hAnsi="宋体" w:eastAsia="宋体" w:cs="Times New Roman"/>
          <w:color w:val="000000"/>
          <w:sz w:val="32"/>
          <w:szCs w:val="32"/>
        </w:rPr>
      </w:pPr>
    </w:p>
    <w:p w14:paraId="0B80EF23">
      <w:pPr>
        <w:pStyle w:val="3"/>
        <w:rPr>
          <w:rFonts w:hint="eastAsia"/>
        </w:rPr>
      </w:pPr>
    </w:p>
    <w:p w14:paraId="2B0A9A8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hAnsi="宋体" w:eastAsia="宋体" w:cs="Times New Roman"/>
          <w:color w:val="000000"/>
          <w:sz w:val="32"/>
          <w:szCs w:val="32"/>
        </w:rPr>
      </w:pPr>
      <w:r>
        <w:rPr>
          <w:rFonts w:hint="eastAsia" w:hAnsi="宋体" w:eastAsia="宋体" w:cs="Times New Roman"/>
          <w:color w:val="000000"/>
          <w:sz w:val="32"/>
          <w:szCs w:val="32"/>
        </w:rPr>
        <w:t>项目编号：</w:t>
      </w:r>
      <w:r>
        <w:rPr>
          <w:rFonts w:hint="eastAsia" w:hAnsi="宋体" w:eastAsia="宋体" w:cs="Times New Roman"/>
          <w:color w:val="000000"/>
          <w:sz w:val="32"/>
          <w:szCs w:val="32"/>
          <w:u w:val="single"/>
          <w:lang w:val="en-US" w:eastAsia="zh-CN"/>
        </w:rPr>
        <w:t>HCCT202500</w:t>
      </w:r>
      <w:r>
        <w:rPr>
          <w:rFonts w:hint="eastAsia" w:hAnsi="宋体" w:cs="Times New Roman"/>
          <w:color w:val="000000"/>
          <w:sz w:val="32"/>
          <w:szCs w:val="32"/>
          <w:u w:val="single"/>
          <w:lang w:val="en-US" w:eastAsia="zh-CN"/>
        </w:rPr>
        <w:t>9</w:t>
      </w:r>
      <w:r>
        <w:rPr>
          <w:rFonts w:hint="eastAsia" w:hAnsi="宋体" w:eastAsia="宋体" w:cs="Times New Roman"/>
          <w:color w:val="000000"/>
          <w:sz w:val="32"/>
          <w:szCs w:val="32"/>
          <w:u w:val="single"/>
          <w:lang w:val="en-US" w:eastAsia="zh-CN"/>
        </w:rPr>
        <w:t>号</w:t>
      </w:r>
    </w:p>
    <w:p w14:paraId="321983C2">
      <w:pPr>
        <w:keepNext w:val="0"/>
        <w:keepLines w:val="0"/>
        <w:pageBreakBefore w:val="0"/>
        <w:kinsoku/>
        <w:wordWrap/>
        <w:overflowPunct/>
        <w:topLinePunct w:val="0"/>
        <w:autoSpaceDE/>
        <w:autoSpaceDN/>
        <w:bidi w:val="0"/>
        <w:adjustRightInd/>
        <w:spacing w:line="600" w:lineRule="exact"/>
        <w:jc w:val="left"/>
        <w:textAlignment w:val="auto"/>
        <w:rPr>
          <w:rFonts w:hint="eastAsia" w:hAnsi="宋体" w:eastAsia="宋体" w:cs="Times New Roman"/>
          <w:color w:val="000000"/>
          <w:sz w:val="32"/>
          <w:szCs w:val="32"/>
        </w:rPr>
      </w:pPr>
    </w:p>
    <w:p w14:paraId="46969FD9">
      <w:pPr>
        <w:pStyle w:val="3"/>
        <w:rPr>
          <w:rFonts w:hint="eastAsia"/>
        </w:rPr>
      </w:pPr>
    </w:p>
    <w:p w14:paraId="149847D9">
      <w:pPr>
        <w:keepNext w:val="0"/>
        <w:keepLines w:val="0"/>
        <w:pageBreakBefore w:val="0"/>
        <w:kinsoku/>
        <w:wordWrap/>
        <w:overflowPunct/>
        <w:topLinePunct w:val="0"/>
        <w:autoSpaceDE/>
        <w:autoSpaceDN/>
        <w:bidi w:val="0"/>
        <w:adjustRightInd/>
        <w:spacing w:line="600" w:lineRule="exact"/>
        <w:jc w:val="left"/>
        <w:textAlignment w:val="auto"/>
        <w:rPr>
          <w:rFonts w:hint="eastAsia" w:ascii="仿宋_GB2312" w:hAnsi="仿宋" w:eastAsia="仿宋_GB2312"/>
          <w:sz w:val="32"/>
          <w:szCs w:val="32"/>
        </w:rPr>
      </w:pPr>
      <w:r>
        <w:rPr>
          <w:rFonts w:hint="eastAsia" w:hAnsi="宋体" w:eastAsia="宋体" w:cs="Times New Roman"/>
          <w:color w:val="000000"/>
          <w:sz w:val="32"/>
          <w:szCs w:val="32"/>
        </w:rPr>
        <w:t>报价金额（小写）：</w:t>
      </w:r>
      <w:r>
        <w:rPr>
          <w:rFonts w:hint="eastAsia" w:ascii="仿宋_GB2312" w:hAnsi="仿宋" w:eastAsia="仿宋_GB2312"/>
          <w:sz w:val="32"/>
          <w:szCs w:val="32"/>
          <w:u w:val="single"/>
        </w:rPr>
        <w:t xml:space="preserve">                                   </w:t>
      </w:r>
    </w:p>
    <w:p w14:paraId="249496FE">
      <w:pPr>
        <w:keepNext w:val="0"/>
        <w:keepLines w:val="0"/>
        <w:pageBreakBefore w:val="0"/>
        <w:kinsoku/>
        <w:wordWrap/>
        <w:overflowPunct/>
        <w:topLinePunct w:val="0"/>
        <w:autoSpaceDE/>
        <w:autoSpaceDN/>
        <w:bidi w:val="0"/>
        <w:adjustRightInd/>
        <w:spacing w:line="600" w:lineRule="exact"/>
        <w:ind w:firstLine="1280" w:firstLineChars="400"/>
        <w:jc w:val="left"/>
        <w:textAlignment w:val="auto"/>
        <w:rPr>
          <w:rFonts w:hint="eastAsia" w:ascii="仿宋_GB2312" w:hAnsi="仿宋" w:eastAsia="仿宋_GB2312"/>
          <w:sz w:val="32"/>
          <w:szCs w:val="32"/>
          <w:u w:val="single"/>
        </w:rPr>
      </w:pPr>
      <w:r>
        <w:rPr>
          <w:rFonts w:hint="eastAsia" w:hAnsi="宋体" w:eastAsia="宋体" w:cs="Times New Roman"/>
          <w:color w:val="000000"/>
          <w:sz w:val="32"/>
          <w:szCs w:val="32"/>
        </w:rPr>
        <w:t>（大写）：</w:t>
      </w:r>
      <w:r>
        <w:rPr>
          <w:rFonts w:hint="eastAsia" w:ascii="仿宋_GB2312" w:hAnsi="仿宋" w:eastAsia="仿宋_GB2312"/>
          <w:sz w:val="32"/>
          <w:szCs w:val="32"/>
          <w:u w:val="single"/>
        </w:rPr>
        <w:t xml:space="preserve">                                   </w:t>
      </w:r>
    </w:p>
    <w:p w14:paraId="3D8880A7">
      <w:pPr>
        <w:keepNext w:val="0"/>
        <w:keepLines w:val="0"/>
        <w:pageBreakBefore w:val="0"/>
        <w:kinsoku/>
        <w:wordWrap/>
        <w:overflowPunct/>
        <w:topLinePunct w:val="0"/>
        <w:autoSpaceDE/>
        <w:autoSpaceDN/>
        <w:bidi w:val="0"/>
        <w:adjustRightInd/>
        <w:spacing w:line="600" w:lineRule="exact"/>
        <w:ind w:firstLine="1280" w:firstLineChars="400"/>
        <w:textAlignment w:val="auto"/>
        <w:rPr>
          <w:rFonts w:hint="eastAsia" w:hAnsi="宋体" w:eastAsia="宋体" w:cs="Times New Roman"/>
          <w:color w:val="000000"/>
          <w:sz w:val="32"/>
          <w:szCs w:val="32"/>
        </w:rPr>
      </w:pPr>
      <w:r>
        <w:rPr>
          <w:rFonts w:hint="eastAsia" w:hAnsi="宋体" w:eastAsia="宋体" w:cs="Times New Roman"/>
          <w:color w:val="000000"/>
          <w:sz w:val="32"/>
          <w:szCs w:val="32"/>
        </w:rPr>
        <w:t xml:space="preserve">                                </w:t>
      </w:r>
    </w:p>
    <w:p w14:paraId="27991E97">
      <w:pPr>
        <w:keepNext w:val="0"/>
        <w:keepLines w:val="0"/>
        <w:pageBreakBefore w:val="0"/>
        <w:widowControl w:val="0"/>
        <w:kinsoku/>
        <w:wordWrap/>
        <w:overflowPunct/>
        <w:topLinePunct w:val="0"/>
        <w:autoSpaceDE/>
        <w:autoSpaceDN/>
        <w:bidi w:val="0"/>
        <w:adjustRightInd/>
        <w:snapToGrid/>
        <w:spacing w:line="540" w:lineRule="exact"/>
        <w:ind w:firstLine="6080" w:firstLineChars="1900"/>
        <w:textAlignment w:val="auto"/>
        <w:rPr>
          <w:rFonts w:hint="eastAsia" w:hAnsi="宋体" w:eastAsia="宋体" w:cs="Times New Roman"/>
          <w:color w:val="000000"/>
          <w:sz w:val="32"/>
          <w:szCs w:val="32"/>
          <w:lang w:eastAsia="zh-CN"/>
        </w:rPr>
      </w:pPr>
    </w:p>
    <w:p w14:paraId="56453398">
      <w:pPr>
        <w:keepNext w:val="0"/>
        <w:keepLines w:val="0"/>
        <w:pageBreakBefore w:val="0"/>
        <w:widowControl w:val="0"/>
        <w:kinsoku/>
        <w:wordWrap/>
        <w:overflowPunct/>
        <w:topLinePunct w:val="0"/>
        <w:autoSpaceDE/>
        <w:autoSpaceDN/>
        <w:bidi w:val="0"/>
        <w:adjustRightInd/>
        <w:snapToGrid/>
        <w:spacing w:line="540" w:lineRule="exact"/>
        <w:ind w:firstLine="6080" w:firstLineChars="1900"/>
        <w:textAlignment w:val="auto"/>
        <w:rPr>
          <w:rFonts w:hint="eastAsia"/>
        </w:rPr>
      </w:pPr>
      <w:r>
        <w:rPr>
          <w:rFonts w:hint="eastAsia" w:hAnsi="宋体" w:eastAsia="宋体" w:cs="Times New Roman"/>
          <w:color w:val="000000"/>
          <w:sz w:val="32"/>
          <w:szCs w:val="32"/>
          <w:lang w:eastAsia="zh-CN"/>
        </w:rPr>
        <w:t>年</w:t>
      </w:r>
      <w:r>
        <w:rPr>
          <w:rFonts w:hint="eastAsia" w:hAnsi="宋体" w:eastAsia="宋体" w:cs="Times New Roman"/>
          <w:color w:val="000000"/>
          <w:sz w:val="32"/>
          <w:szCs w:val="32"/>
          <w:lang w:val="en-US" w:eastAsia="zh-CN"/>
        </w:rPr>
        <w:t xml:space="preserve">   </w:t>
      </w:r>
      <w:r>
        <w:rPr>
          <w:rFonts w:hint="eastAsia" w:hAnsi="宋体" w:eastAsia="宋体" w:cs="Times New Roman"/>
          <w:color w:val="000000"/>
          <w:sz w:val="32"/>
          <w:szCs w:val="32"/>
          <w:lang w:eastAsia="zh-CN"/>
        </w:rPr>
        <w:t>月</w:t>
      </w:r>
      <w:r>
        <w:rPr>
          <w:rFonts w:hint="eastAsia" w:hAnsi="宋体" w:eastAsia="宋体" w:cs="Times New Roman"/>
          <w:color w:val="000000"/>
          <w:sz w:val="32"/>
          <w:szCs w:val="32"/>
          <w:lang w:val="en-US" w:eastAsia="zh-CN"/>
        </w:rPr>
        <w:t xml:space="preserve">   </w:t>
      </w:r>
      <w:r>
        <w:rPr>
          <w:rFonts w:hint="eastAsia" w:hAnsi="宋体" w:eastAsia="宋体" w:cs="Times New Roman"/>
          <w:color w:val="000000"/>
          <w:sz w:val="32"/>
          <w:szCs w:val="32"/>
          <w:lang w:eastAsia="zh-CN"/>
        </w:rPr>
        <w:t>日</w:t>
      </w:r>
      <w:r>
        <w:rPr>
          <w:rFonts w:hint="eastAsia" w:hAnsi="宋体" w:eastAsia="宋体" w:cs="Times New Roman"/>
          <w:color w:val="000000"/>
          <w:sz w:val="32"/>
          <w:szCs w:val="32"/>
        </w:rPr>
        <w:t xml:space="preserve">                    </w:t>
      </w:r>
    </w:p>
    <w:p w14:paraId="24B18154">
      <w:pPr>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s="Times New Roman"/>
          <w:b/>
          <w:bCs/>
          <w:spacing w:val="-20"/>
          <w:sz w:val="21"/>
          <w:lang w:val="en-US" w:eastAsia="zh-CN"/>
        </w:rPr>
      </w:pPr>
    </w:p>
    <w:p w14:paraId="700C9F4A">
      <w:pPr>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s="Times New Roman"/>
          <w:b/>
          <w:bCs/>
          <w:spacing w:val="-20"/>
          <w:sz w:val="21"/>
          <w:lang w:val="en-US" w:eastAsia="zh-CN"/>
        </w:rPr>
      </w:pPr>
    </w:p>
    <w:p w14:paraId="79F4C976">
      <w:pPr>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s="Times New Roman"/>
          <w:b/>
          <w:bCs/>
          <w:spacing w:val="-20"/>
          <w:sz w:val="21"/>
          <w:lang w:val="en-US" w:eastAsia="zh-CN"/>
        </w:rPr>
      </w:pPr>
      <w:r>
        <w:rPr>
          <w:rFonts w:hint="eastAsia" w:ascii="仿宋_GB2312" w:eastAsia="仿宋_GB2312" w:cs="Times New Roman"/>
          <w:b/>
          <w:bCs/>
          <w:spacing w:val="-20"/>
          <w:sz w:val="21"/>
          <w:lang w:val="en-US" w:eastAsia="zh-CN"/>
        </w:rPr>
        <w:t xml:space="preserve">注：最高上限控制价为人民币26000.00元，金额大小写要一致，否则无效。 </w:t>
      </w:r>
    </w:p>
    <w:p w14:paraId="126B8D5A">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华文楷体" w:hAnsi="华文楷体" w:eastAsia="华文楷体" w:cs="华文楷体"/>
          <w:sz w:val="24"/>
          <w:szCs w:val="24"/>
          <w:lang w:val="en-US" w:eastAsia="zh-CN"/>
        </w:rPr>
      </w:pPr>
    </w:p>
    <w:p w14:paraId="0EED1438">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华文楷体" w:hAnsi="华文楷体" w:eastAsia="华文楷体" w:cs="华文楷体"/>
          <w:sz w:val="24"/>
          <w:szCs w:val="24"/>
          <w:lang w:val="en-US" w:eastAsia="zh-CN"/>
        </w:rPr>
      </w:pPr>
    </w:p>
    <w:p w14:paraId="5ECF5BED">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华文楷体" w:hAnsi="华文楷体" w:eastAsia="华文楷体" w:cs="华文楷体"/>
          <w:sz w:val="24"/>
          <w:szCs w:val="24"/>
          <w:lang w:val="en-US" w:eastAsia="zh-CN"/>
        </w:rPr>
      </w:pPr>
    </w:p>
    <w:p w14:paraId="2E065E86">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方正小标宋简体" w:hAnsi="方正小标宋简体" w:eastAsia="方正小标宋简体" w:cs="方正小标宋简体"/>
          <w:bCs/>
          <w:szCs w:val="52"/>
        </w:rPr>
      </w:pPr>
      <w:r>
        <w:rPr>
          <w:rFonts w:hint="eastAsia" w:ascii="华文楷体" w:hAnsi="华文楷体" w:eastAsia="华文楷体" w:cs="华文楷体"/>
          <w:sz w:val="24"/>
          <w:szCs w:val="24"/>
          <w:lang w:val="en-US" w:eastAsia="zh-CN"/>
        </w:rPr>
        <w:t>附件2</w:t>
      </w:r>
    </w:p>
    <w:p w14:paraId="200DF975">
      <w:pPr>
        <w:pStyle w:val="3"/>
        <w:spacing w:beforeLines="50" w:afterLines="50" w:line="360" w:lineRule="auto"/>
        <w:rPr>
          <w:rFonts w:ascii="方正小标宋简体" w:hAnsi="方正小标宋简体" w:eastAsia="方正小标宋简体" w:cs="方正小标宋简体"/>
          <w:bCs/>
          <w:szCs w:val="52"/>
        </w:rPr>
      </w:pPr>
      <w:r>
        <w:rPr>
          <w:rFonts w:hint="eastAsia" w:ascii="方正小标宋简体" w:hAnsi="方正小标宋简体" w:eastAsia="方正小标宋简体" w:cs="方正小标宋简体"/>
          <w:bCs/>
          <w:szCs w:val="52"/>
        </w:rPr>
        <w:t>水土保持验收技术服务合同</w:t>
      </w:r>
    </w:p>
    <w:p w14:paraId="769B3B41"/>
    <w:p w14:paraId="1371638E">
      <w:pPr>
        <w:pStyle w:val="3"/>
        <w:jc w:val="both"/>
      </w:pPr>
    </w:p>
    <w:p w14:paraId="45223414"/>
    <w:p w14:paraId="60EA6598">
      <w:pPr>
        <w:pStyle w:val="3"/>
      </w:pPr>
    </w:p>
    <w:p w14:paraId="51C22161">
      <w:pPr>
        <w:pStyle w:val="8"/>
      </w:pPr>
    </w:p>
    <w:p w14:paraId="2F6D33AD"/>
    <w:p w14:paraId="5CD435AB">
      <w:pPr>
        <w:pStyle w:val="3"/>
      </w:pPr>
    </w:p>
    <w:p w14:paraId="145F1FF3"/>
    <w:p w14:paraId="7D3DF1C0">
      <w:pPr>
        <w:pStyle w:val="3"/>
        <w:jc w:val="both"/>
      </w:pPr>
    </w:p>
    <w:p w14:paraId="08DB6210">
      <w:pPr>
        <w:pStyle w:val="3"/>
      </w:pPr>
    </w:p>
    <w:p w14:paraId="76C2D07E">
      <w:pPr>
        <w:spacing w:line="800" w:lineRule="atLeast"/>
        <w:ind w:firstLine="600" w:firstLineChars="200"/>
        <w:rPr>
          <w:rFonts w:ascii="方正小标宋简体" w:hAnsi="方正小标宋简体" w:eastAsia="方正小标宋简体" w:cs="方正小标宋简体"/>
          <w:bCs/>
          <w:sz w:val="30"/>
          <w:szCs w:val="30"/>
        </w:rPr>
      </w:pPr>
      <w:r>
        <w:rPr>
          <w:rFonts w:hint="eastAsia" w:ascii="方正小标宋简体" w:hAnsi="方正小标宋简体" w:eastAsia="方正小标宋简体" w:cs="方正小标宋简体"/>
          <w:bCs/>
          <w:sz w:val="30"/>
          <w:szCs w:val="30"/>
        </w:rPr>
        <w:t>委托方（甲方）：</w:t>
      </w:r>
      <w:r>
        <w:rPr>
          <w:rFonts w:hint="eastAsia" w:ascii="方正小标宋简体" w:hAnsi="方正小标宋简体" w:eastAsia="方正小标宋简体" w:cs="方正小标宋简体"/>
          <w:bCs/>
          <w:sz w:val="30"/>
          <w:szCs w:val="30"/>
          <w:u w:val="single"/>
        </w:rPr>
        <w:t>河池市城乡建设投资集团有限公司</w:t>
      </w:r>
    </w:p>
    <w:p w14:paraId="0B31F510">
      <w:pPr>
        <w:spacing w:line="800" w:lineRule="atLeast"/>
        <w:ind w:firstLine="600" w:firstLineChars="200"/>
        <w:rPr>
          <w:rFonts w:hint="default" w:ascii="方正小标宋简体" w:hAnsi="方正小标宋简体" w:eastAsia="方正小标宋简体" w:cs="方正小标宋简体"/>
          <w:bCs/>
          <w:sz w:val="30"/>
          <w:szCs w:val="30"/>
          <w:u w:val="single"/>
          <w:lang w:val="en-US" w:eastAsia="zh-CN"/>
        </w:rPr>
      </w:pPr>
      <w:r>
        <w:rPr>
          <w:rFonts w:hint="eastAsia" w:ascii="方正小标宋简体" w:hAnsi="方正小标宋简体" w:eastAsia="方正小标宋简体" w:cs="方正小标宋简体"/>
          <w:bCs/>
          <w:sz w:val="30"/>
          <w:szCs w:val="30"/>
        </w:rPr>
        <w:t>受托方（乙方）：</w:t>
      </w:r>
      <w:r>
        <w:rPr>
          <w:rFonts w:hint="eastAsia" w:ascii="方正小标宋简体" w:hAnsi="方正小标宋简体" w:eastAsia="方正小标宋简体" w:cs="方正小标宋简体"/>
          <w:bCs/>
          <w:sz w:val="30"/>
          <w:szCs w:val="30"/>
          <w:u w:val="single"/>
          <w:lang w:val="en-US" w:eastAsia="zh-CN"/>
        </w:rPr>
        <w:t xml:space="preserve">                              </w:t>
      </w:r>
    </w:p>
    <w:p w14:paraId="66CEBCC1">
      <w:pPr>
        <w:spacing w:line="800" w:lineRule="atLeast"/>
        <w:ind w:left="0" w:leftChars="0" w:firstLine="600" w:firstLineChars="200"/>
        <w:rPr>
          <w:rFonts w:ascii="方正小标宋简体" w:hAnsi="方正小标宋简体" w:eastAsia="方正小标宋简体" w:cs="方正小标宋简体"/>
          <w:bCs/>
          <w:sz w:val="30"/>
          <w:szCs w:val="30"/>
        </w:rPr>
      </w:pPr>
      <w:r>
        <w:rPr>
          <w:rFonts w:hint="eastAsia" w:ascii="方正小标宋简体" w:hAnsi="方正小标宋简体" w:eastAsia="方正小标宋简体" w:cs="方正小标宋简体"/>
          <w:bCs/>
          <w:sz w:val="30"/>
          <w:szCs w:val="30"/>
        </w:rPr>
        <w:t>签订日期：</w:t>
      </w:r>
      <w:r>
        <w:rPr>
          <w:rFonts w:hint="eastAsia" w:ascii="方正小标宋简体" w:hAnsi="方正小标宋简体" w:eastAsia="方正小标宋简体" w:cs="方正小标宋简体"/>
          <w:bCs/>
          <w:sz w:val="30"/>
          <w:szCs w:val="30"/>
          <w:lang w:val="en-US" w:eastAsia="zh-CN"/>
        </w:rPr>
        <w:t xml:space="preserve">  </w:t>
      </w:r>
      <w:r>
        <w:rPr>
          <w:rFonts w:hint="eastAsia" w:ascii="方正小标宋简体" w:hAnsi="方正小标宋简体" w:eastAsia="方正小标宋简体" w:cs="方正小标宋简体"/>
          <w:bCs/>
          <w:sz w:val="30"/>
          <w:szCs w:val="30"/>
        </w:rPr>
        <w:t>年</w:t>
      </w:r>
      <w:r>
        <w:rPr>
          <w:rFonts w:hint="eastAsia" w:ascii="方正小标宋简体" w:hAnsi="方正小标宋简体" w:eastAsia="方正小标宋简体" w:cs="方正小标宋简体"/>
          <w:bCs/>
          <w:sz w:val="30"/>
          <w:szCs w:val="30"/>
          <w:lang w:val="en-US" w:eastAsia="zh-CN"/>
        </w:rPr>
        <w:t xml:space="preserve">   </w:t>
      </w:r>
      <w:r>
        <w:rPr>
          <w:rFonts w:hint="eastAsia" w:ascii="方正小标宋简体" w:hAnsi="方正小标宋简体" w:eastAsia="方正小标宋简体" w:cs="方正小标宋简体"/>
          <w:bCs/>
          <w:sz w:val="30"/>
          <w:szCs w:val="30"/>
        </w:rPr>
        <w:t>月</w:t>
      </w:r>
      <w:r>
        <w:rPr>
          <w:rFonts w:hint="eastAsia" w:ascii="方正小标宋简体" w:hAnsi="方正小标宋简体" w:eastAsia="方正小标宋简体" w:cs="方正小标宋简体"/>
          <w:bCs/>
          <w:sz w:val="30"/>
          <w:szCs w:val="30"/>
          <w:lang w:val="en-US" w:eastAsia="zh-CN"/>
        </w:rPr>
        <w:t xml:space="preserve">   </w:t>
      </w:r>
      <w:r>
        <w:rPr>
          <w:rFonts w:hint="eastAsia" w:ascii="方正小标宋简体" w:hAnsi="方正小标宋简体" w:eastAsia="方正小标宋简体" w:cs="方正小标宋简体"/>
          <w:bCs/>
          <w:sz w:val="30"/>
          <w:szCs w:val="30"/>
        </w:rPr>
        <w:t>日</w:t>
      </w:r>
    </w:p>
    <w:p w14:paraId="0CCA1379">
      <w:pPr>
        <w:pStyle w:val="3"/>
        <w:spacing w:beforeLines="50" w:afterLines="50" w:line="360" w:lineRule="auto"/>
        <w:jc w:val="left"/>
        <w:rPr>
          <w:rFonts w:ascii="宋体" w:hAnsi="宋体" w:cs="宋体"/>
          <w:sz w:val="28"/>
          <w:szCs w:val="28"/>
          <w:u w:val="single"/>
        </w:rPr>
      </w:pPr>
    </w:p>
    <w:p w14:paraId="4DC3F8DC">
      <w:pPr>
        <w:pStyle w:val="3"/>
        <w:spacing w:beforeLines="50" w:afterLines="50" w:line="360" w:lineRule="auto"/>
        <w:rPr>
          <w:rFonts w:hint="eastAsia" w:ascii="方正小标宋简体" w:hAnsi="方正小标宋简体" w:eastAsia="方正小标宋简体" w:cs="方正小标宋简体"/>
          <w:bCs/>
          <w:sz w:val="36"/>
          <w:szCs w:val="36"/>
        </w:rPr>
      </w:pPr>
    </w:p>
    <w:p w14:paraId="0BF81D21">
      <w:pPr>
        <w:pStyle w:val="3"/>
        <w:spacing w:beforeLines="50" w:afterLines="50" w:line="360" w:lineRule="auto"/>
        <w:rPr>
          <w:rFonts w:hint="eastAsia" w:ascii="方正小标宋简体" w:hAnsi="方正小标宋简体" w:eastAsia="方正小标宋简体" w:cs="方正小标宋简体"/>
          <w:bCs/>
          <w:sz w:val="36"/>
          <w:szCs w:val="36"/>
        </w:rPr>
      </w:pPr>
    </w:p>
    <w:p w14:paraId="15167043">
      <w:pPr>
        <w:rPr>
          <w:rFonts w:hint="eastAsia" w:ascii="方正小标宋简体" w:hAnsi="方正小标宋简体" w:eastAsia="方正小标宋简体" w:cs="方正小标宋简体"/>
          <w:bCs/>
          <w:sz w:val="36"/>
          <w:szCs w:val="36"/>
        </w:rPr>
      </w:pPr>
    </w:p>
    <w:p w14:paraId="3B48E37A">
      <w:pPr>
        <w:rPr>
          <w:rFonts w:hint="eastAsia" w:ascii="方正小标宋简体" w:hAnsi="方正小标宋简体" w:eastAsia="方正小标宋简体" w:cs="方正小标宋简体"/>
          <w:bCs/>
          <w:sz w:val="36"/>
          <w:szCs w:val="36"/>
        </w:rPr>
      </w:pPr>
    </w:p>
    <w:p w14:paraId="2AD2DB19">
      <w:pPr>
        <w:pStyle w:val="3"/>
        <w:pageBreakBefore w:val="0"/>
        <w:kinsoku/>
        <w:wordWrap/>
        <w:overflowPunct/>
        <w:topLinePunct w:val="0"/>
        <w:bidi w:val="0"/>
        <w:snapToGrid/>
        <w:spacing w:beforeLines="50" w:afterLines="50" w:line="560" w:lineRule="exact"/>
        <w:textAlignment w:val="auto"/>
        <w:rPr>
          <w:rFonts w:ascii="宋体" w:hAnsi="宋体" w:cs="宋体"/>
          <w:sz w:val="48"/>
          <w:szCs w:val="48"/>
        </w:rPr>
      </w:pPr>
      <w:r>
        <w:rPr>
          <w:rFonts w:hint="eastAsia" w:ascii="方正小标宋简体" w:hAnsi="方正小标宋简体" w:eastAsia="方正小标宋简体" w:cs="方正小标宋简体"/>
          <w:bCs/>
          <w:sz w:val="48"/>
          <w:szCs w:val="48"/>
        </w:rPr>
        <w:t>水土保持验收技术服务协议书</w:t>
      </w:r>
    </w:p>
    <w:p w14:paraId="27F724B6">
      <w:pPr>
        <w:pStyle w:val="3"/>
        <w:keepNext w:val="0"/>
        <w:keepLines w:val="0"/>
        <w:pageBreakBefore w:val="0"/>
        <w:widowControl w:val="0"/>
        <w:kinsoku/>
        <w:wordWrap/>
        <w:overflowPunct/>
        <w:topLinePunct w:val="0"/>
        <w:autoSpaceDE/>
        <w:autoSpaceDN/>
        <w:bidi w:val="0"/>
        <w:adjustRightInd/>
        <w:snapToGrid/>
        <w:spacing w:beforeLines="50" w:afterLines="50" w:line="560" w:lineRule="exact"/>
        <w:jc w:val="left"/>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委托方（甲方）：</w:t>
      </w:r>
      <w:r>
        <w:rPr>
          <w:rFonts w:hint="eastAsia" w:asciiTheme="majorEastAsia" w:hAnsiTheme="majorEastAsia" w:eastAsiaTheme="majorEastAsia" w:cstheme="majorEastAsia"/>
          <w:sz w:val="28"/>
          <w:szCs w:val="28"/>
          <w:u w:val="single"/>
        </w:rPr>
        <w:t>河池市城乡建设投资集团有限公司</w:t>
      </w:r>
    </w:p>
    <w:p w14:paraId="5BEC2350">
      <w:pPr>
        <w:pStyle w:val="3"/>
        <w:keepNext w:val="0"/>
        <w:keepLines w:val="0"/>
        <w:pageBreakBefore w:val="0"/>
        <w:widowControl w:val="0"/>
        <w:kinsoku/>
        <w:wordWrap/>
        <w:overflowPunct/>
        <w:topLinePunct w:val="0"/>
        <w:autoSpaceDE/>
        <w:autoSpaceDN/>
        <w:bidi w:val="0"/>
        <w:adjustRightInd/>
        <w:snapToGrid/>
        <w:spacing w:beforeLines="50" w:afterLines="50" w:line="560" w:lineRule="exact"/>
        <w:jc w:val="both"/>
        <w:textAlignment w:val="auto"/>
        <w:rPr>
          <w:rFonts w:hint="default" w:asciiTheme="majorEastAsia" w:hAnsiTheme="majorEastAsia" w:eastAsiaTheme="majorEastAsia" w:cstheme="majorEastAsia"/>
          <w:sz w:val="28"/>
          <w:szCs w:val="28"/>
          <w:u w:val="single"/>
          <w:lang w:val="en-US" w:eastAsia="zh-CN"/>
        </w:rPr>
      </w:pPr>
      <w:r>
        <w:rPr>
          <w:rFonts w:hint="eastAsia" w:asciiTheme="majorEastAsia" w:hAnsiTheme="majorEastAsia" w:eastAsiaTheme="majorEastAsia" w:cstheme="majorEastAsia"/>
          <w:sz w:val="28"/>
          <w:szCs w:val="28"/>
        </w:rPr>
        <w:t>受托方（乙方）：</w:t>
      </w:r>
      <w:r>
        <w:rPr>
          <w:rFonts w:hint="eastAsia" w:asciiTheme="majorEastAsia" w:hAnsiTheme="majorEastAsia" w:eastAsiaTheme="majorEastAsia" w:cstheme="majorEastAsia"/>
          <w:sz w:val="28"/>
          <w:szCs w:val="28"/>
          <w:u w:val="single"/>
          <w:lang w:val="en-US" w:eastAsia="zh-CN"/>
        </w:rPr>
        <w:t xml:space="preserve">                              </w:t>
      </w:r>
    </w:p>
    <w:p w14:paraId="686411AD">
      <w:pPr>
        <w:keepNext w:val="0"/>
        <w:keepLines w:val="0"/>
        <w:pageBreakBefore w:val="0"/>
        <w:widowControl w:val="0"/>
        <w:kinsoku/>
        <w:wordWrap/>
        <w:overflowPunct/>
        <w:topLinePunct w:val="0"/>
        <w:autoSpaceDE/>
        <w:autoSpaceDN/>
        <w:bidi w:val="0"/>
        <w:adjustRightInd/>
        <w:snapToGrid/>
        <w:spacing w:line="560" w:lineRule="exact"/>
        <w:ind w:firstLine="420" w:firstLineChars="150"/>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甲方委托乙方就</w:t>
      </w:r>
      <w:r>
        <w:rPr>
          <w:rFonts w:hint="eastAsia" w:ascii="宋体" w:hAnsi="宋体" w:cs="宋体"/>
          <w:color w:val="000000"/>
          <w:kern w:val="0"/>
          <w:sz w:val="28"/>
          <w:szCs w:val="28"/>
        </w:rPr>
        <w:t>河池市金城江城区排水防涝管网工程</w:t>
      </w:r>
      <w:r>
        <w:rPr>
          <w:rFonts w:hint="eastAsia" w:asciiTheme="majorEastAsia" w:hAnsiTheme="majorEastAsia" w:eastAsiaTheme="majorEastAsia" w:cstheme="majorEastAsia"/>
          <w:sz w:val="28"/>
          <w:szCs w:val="28"/>
          <w:u w:val="single"/>
          <w:lang w:eastAsia="zh-CN"/>
        </w:rPr>
        <w:t>进行</w:t>
      </w:r>
      <w:r>
        <w:rPr>
          <w:rFonts w:hint="eastAsia" w:asciiTheme="majorEastAsia" w:hAnsiTheme="majorEastAsia" w:eastAsiaTheme="majorEastAsia" w:cstheme="majorEastAsia"/>
          <w:sz w:val="28"/>
          <w:szCs w:val="28"/>
        </w:rPr>
        <w:t>技术服务，并支付相应的服务报酬。双方经过平等协商，在真实、充分的表达各自意愿的基础上，根据《中华人民共和国民法典》《中华人民共和国水土保持法》和相关法律、法规的规定，经双方协商一致，签订本合同。</w:t>
      </w:r>
    </w:p>
    <w:p w14:paraId="055E7E48">
      <w:pPr>
        <w:pageBreakBefore w:val="0"/>
        <w:kinsoku/>
        <w:wordWrap/>
        <w:overflowPunct/>
        <w:topLinePunct w:val="0"/>
        <w:bidi w:val="0"/>
        <w:snapToGrid/>
        <w:spacing w:line="560" w:lineRule="exact"/>
        <w:ind w:firstLine="560" w:firstLineChars="200"/>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1.如有下列文件视为合同文件的组成部分：</w:t>
      </w:r>
    </w:p>
    <w:p w14:paraId="533A1979">
      <w:pPr>
        <w:pageBreakBefore w:val="0"/>
        <w:kinsoku/>
        <w:wordWrap/>
        <w:overflowPunct/>
        <w:topLinePunct w:val="0"/>
        <w:bidi w:val="0"/>
        <w:snapToGrid/>
        <w:spacing w:line="560" w:lineRule="exact"/>
        <w:ind w:firstLine="420" w:firstLineChars="150"/>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（1）本协议书及各种合同附件(含补充资料)；</w:t>
      </w:r>
    </w:p>
    <w:p w14:paraId="01A356BE">
      <w:pPr>
        <w:pageBreakBefore w:val="0"/>
        <w:kinsoku/>
        <w:wordWrap/>
        <w:overflowPunct/>
        <w:topLinePunct w:val="0"/>
        <w:bidi w:val="0"/>
        <w:snapToGrid/>
        <w:spacing w:line="560" w:lineRule="exact"/>
        <w:ind w:firstLine="420" w:firstLineChars="150"/>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（2）双方认可的会议纪要，往来传真、电报、函等。</w:t>
      </w:r>
    </w:p>
    <w:p w14:paraId="7A387128">
      <w:pPr>
        <w:pageBreakBefore w:val="0"/>
        <w:kinsoku/>
        <w:wordWrap/>
        <w:overflowPunct/>
        <w:topLinePunct w:val="0"/>
        <w:bidi w:val="0"/>
        <w:snapToGrid/>
        <w:spacing w:line="560" w:lineRule="exact"/>
        <w:ind w:firstLine="560" w:firstLineChars="200"/>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2.上述文件互相补充和解释，如有不明确或不一致之处，以合同约定次序在先者为准。</w:t>
      </w:r>
    </w:p>
    <w:p w14:paraId="42B89CCA">
      <w:pPr>
        <w:pageBreakBefore w:val="0"/>
        <w:kinsoku/>
        <w:wordWrap/>
        <w:overflowPunct/>
        <w:topLinePunct w:val="0"/>
        <w:bidi w:val="0"/>
        <w:snapToGrid/>
        <w:spacing w:line="560" w:lineRule="exact"/>
        <w:ind w:firstLine="560" w:firstLineChars="200"/>
        <w:textAlignment w:val="auto"/>
        <w:rPr>
          <w:rFonts w:hint="eastAsia" w:ascii="宋体" w:hAnsi="宋体" w:cs="宋体"/>
          <w:color w:val="000000"/>
          <w:kern w:val="0"/>
          <w:sz w:val="28"/>
          <w:szCs w:val="28"/>
          <w:u w:val="single"/>
        </w:rPr>
      </w:pPr>
      <w:r>
        <w:rPr>
          <w:rFonts w:hint="eastAsia" w:asciiTheme="majorEastAsia" w:hAnsiTheme="majorEastAsia" w:eastAsiaTheme="majorEastAsia" w:cstheme="majorEastAsia"/>
          <w:sz w:val="28"/>
          <w:szCs w:val="28"/>
        </w:rPr>
        <w:t>3.</w:t>
      </w:r>
      <w:r>
        <w:rPr>
          <w:rFonts w:hint="eastAsia" w:asciiTheme="majorEastAsia" w:hAnsiTheme="majorEastAsia" w:eastAsiaTheme="majorEastAsia" w:cstheme="majorEastAsia"/>
          <w:b/>
          <w:bCs/>
          <w:sz w:val="28"/>
          <w:szCs w:val="28"/>
        </w:rPr>
        <w:t>项目名称：</w:t>
      </w:r>
      <w:r>
        <w:rPr>
          <w:rFonts w:hint="eastAsia" w:ascii="宋体" w:hAnsi="宋体" w:cs="宋体"/>
          <w:color w:val="000000"/>
          <w:kern w:val="0"/>
          <w:sz w:val="28"/>
          <w:szCs w:val="28"/>
          <w:u w:val="single"/>
        </w:rPr>
        <w:t>河池市金城江城区排水防涝管网工程</w:t>
      </w:r>
    </w:p>
    <w:p w14:paraId="6FB29CDE">
      <w:pPr>
        <w:pageBreakBefore w:val="0"/>
        <w:kinsoku/>
        <w:wordWrap/>
        <w:overflowPunct/>
        <w:topLinePunct w:val="0"/>
        <w:bidi w:val="0"/>
        <w:snapToGrid/>
        <w:spacing w:line="560" w:lineRule="exact"/>
        <w:ind w:firstLine="560" w:firstLineChars="200"/>
        <w:textAlignment w:val="auto"/>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rPr>
        <w:t>4.</w:t>
      </w:r>
      <w:r>
        <w:rPr>
          <w:rFonts w:hint="eastAsia" w:asciiTheme="majorEastAsia" w:hAnsiTheme="majorEastAsia" w:eastAsiaTheme="majorEastAsia" w:cstheme="majorEastAsia"/>
          <w:b/>
          <w:bCs/>
          <w:sz w:val="28"/>
          <w:szCs w:val="28"/>
        </w:rPr>
        <w:t>项目地点：</w:t>
      </w:r>
      <w:r>
        <w:rPr>
          <w:rFonts w:hint="eastAsia" w:ascii="仿宋" w:hAnsi="仿宋" w:eastAsia="仿宋" w:cs="仿宋"/>
          <w:color w:val="000000"/>
          <w:sz w:val="30"/>
          <w:szCs w:val="30"/>
          <w:u w:val="single"/>
          <w:lang w:eastAsia="zh-CN"/>
        </w:rPr>
        <w:t>河池市金城江区</w:t>
      </w:r>
    </w:p>
    <w:p w14:paraId="3388EAD5">
      <w:pPr>
        <w:keepNext w:val="0"/>
        <w:keepLines w:val="0"/>
        <w:pageBreakBefore w:val="0"/>
        <w:widowControl/>
        <w:suppressLineNumbers w:val="0"/>
        <w:kinsoku/>
        <w:wordWrap/>
        <w:overflowPunct/>
        <w:topLinePunct w:val="0"/>
        <w:bidi w:val="0"/>
        <w:snapToGrid/>
        <w:spacing w:line="560" w:lineRule="exact"/>
        <w:ind w:firstLine="560" w:firstLineChars="200"/>
        <w:jc w:val="left"/>
        <w:textAlignment w:val="auto"/>
        <w:rPr>
          <w:rFonts w:hint="eastAsia" w:asciiTheme="majorEastAsia" w:hAnsiTheme="majorEastAsia" w:eastAsiaTheme="majorEastAsia" w:cstheme="majorEastAsia"/>
          <w:kern w:val="2"/>
          <w:sz w:val="28"/>
          <w:szCs w:val="28"/>
          <w:u w:val="single"/>
          <w:lang w:val="en-US" w:eastAsia="zh-CN" w:bidi="ar-SA"/>
        </w:rPr>
      </w:pPr>
      <w:r>
        <w:rPr>
          <w:rFonts w:hint="eastAsia" w:asciiTheme="majorEastAsia" w:hAnsiTheme="majorEastAsia" w:eastAsiaTheme="majorEastAsia" w:cstheme="majorEastAsia"/>
          <w:sz w:val="28"/>
          <w:szCs w:val="28"/>
        </w:rPr>
        <w:t>5.</w:t>
      </w:r>
      <w:r>
        <w:rPr>
          <w:rFonts w:hint="eastAsia" w:asciiTheme="majorEastAsia" w:hAnsiTheme="majorEastAsia" w:eastAsiaTheme="majorEastAsia" w:cstheme="majorEastAsia"/>
          <w:b/>
          <w:bCs/>
          <w:sz w:val="28"/>
          <w:szCs w:val="28"/>
        </w:rPr>
        <w:t>建设规模：</w:t>
      </w:r>
      <w:r>
        <w:rPr>
          <w:rFonts w:hint="eastAsia" w:ascii="宋体" w:hAnsi="宋体" w:cs="宋体"/>
          <w:color w:val="000000"/>
          <w:kern w:val="0"/>
          <w:sz w:val="28"/>
          <w:szCs w:val="28"/>
        </w:rPr>
        <w:t>河池市金城江城区排水防涝管网工程</w:t>
      </w:r>
      <w:r>
        <w:rPr>
          <w:rFonts w:hint="eastAsia" w:ascii="宋体" w:hAnsi="宋体" w:cs="宋体"/>
          <w:color w:val="000000"/>
          <w:kern w:val="0"/>
          <w:sz w:val="28"/>
          <w:szCs w:val="28"/>
          <w:lang w:eastAsia="zh-CN"/>
        </w:rPr>
        <w:t>：</w:t>
      </w:r>
      <w:r>
        <w:rPr>
          <w:rFonts w:hint="eastAsia" w:ascii="宋体" w:hAnsi="宋体" w:cs="宋体"/>
          <w:sz w:val="28"/>
          <w:szCs w:val="28"/>
          <w:u w:val="single"/>
        </w:rPr>
        <w:t xml:space="preserve"> </w:t>
      </w:r>
      <w:r>
        <w:rPr>
          <w:rFonts w:hint="eastAsia" w:ascii="宋体" w:hAnsi="宋体" w:eastAsia="宋体" w:cs="宋体"/>
          <w:color w:val="000000"/>
          <w:kern w:val="0"/>
          <w:sz w:val="28"/>
          <w:szCs w:val="28"/>
          <w:u w:val="single"/>
        </w:rPr>
        <w:t>根据批复的初步设计、初步设计变更（与初步设计文件不一致的以变更为准）、初步设计图纸疑问函的回复（与初步设计文件及变更不一致的，以疑问回复函的内容为准），河池市金城江城区排水防涝管网工程项目位于金城江区，主要建设内容包括：对“人民厂至小桥食府”、“肯旺桥至市公路局”、“第十五小学”、“中山路卫校”、“六圩老街、新村、腰村、京峒村”、“肯研小学”等6个片区的排水管网进行建设改造。新建DN100~DN300排水压力管约660m，一体化泵站3座；新建DN150~DN600排水重力管约8721m，排水检查井286座，截流井5座，消能井3座；改造排水重力管DN150~DN800约7132m，排水检查井195座；新建雨水重力管DN1000约220米，雨水检查井6座，雨水口18个。具体项目建设规模及内容以批复初步设计的图纸为准（图纸中“主要工程量表”的数量与按图纸计算的工程量不一致的，以按图纸计算的为准。）</w:t>
      </w:r>
    </w:p>
    <w:p w14:paraId="76EBA834">
      <w:pPr>
        <w:pStyle w:val="3"/>
        <w:pageBreakBefore w:val="0"/>
        <w:kinsoku/>
        <w:wordWrap/>
        <w:overflowPunct/>
        <w:topLinePunct w:val="0"/>
        <w:bidi w:val="0"/>
        <w:snapToGrid/>
        <w:spacing w:line="560" w:lineRule="exact"/>
        <w:ind w:firstLine="560" w:firstLineChars="200"/>
        <w:jc w:val="both"/>
        <w:textAlignment w:val="auto"/>
        <w:rPr>
          <w:rFonts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sz w:val="28"/>
          <w:szCs w:val="28"/>
        </w:rPr>
        <w:t>6.根据</w:t>
      </w:r>
      <w:r>
        <w:rPr>
          <w:rFonts w:hint="eastAsia" w:asciiTheme="majorEastAsia" w:hAnsiTheme="majorEastAsia" w:eastAsiaTheme="majorEastAsia" w:cstheme="majorEastAsia"/>
          <w:sz w:val="28"/>
          <w:szCs w:val="28"/>
          <w:u w:val="single"/>
          <w:lang w:val="en-US" w:eastAsia="zh-CN"/>
        </w:rPr>
        <w:t xml:space="preserve">  </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 xml:space="preserve">  </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 xml:space="preserve">  </w:t>
      </w:r>
      <w:r>
        <w:rPr>
          <w:rFonts w:hint="eastAsia" w:asciiTheme="majorEastAsia" w:hAnsiTheme="majorEastAsia" w:eastAsiaTheme="majorEastAsia" w:cstheme="majorEastAsia"/>
          <w:sz w:val="28"/>
          <w:szCs w:val="28"/>
        </w:rPr>
        <w:t>日中标通知书，本项目水土保持验收技术服务费采用总价包干形式，</w:t>
      </w:r>
      <w:r>
        <w:rPr>
          <w:rFonts w:hint="eastAsia" w:asciiTheme="majorEastAsia" w:hAnsiTheme="majorEastAsia" w:eastAsiaTheme="majorEastAsia" w:cstheme="majorEastAsia"/>
          <w:color w:val="000000"/>
          <w:sz w:val="28"/>
          <w:szCs w:val="28"/>
        </w:rPr>
        <w:t>为人民币大写</w:t>
      </w:r>
      <w:r>
        <w:rPr>
          <w:rFonts w:hint="eastAsia" w:ascii="仿宋" w:hAnsi="仿宋" w:eastAsia="仿宋" w:cs="仿宋"/>
          <w:color w:val="000000"/>
          <w:sz w:val="30"/>
          <w:szCs w:val="30"/>
          <w:u w:val="single"/>
        </w:rPr>
        <w:t xml:space="preserve">       </w:t>
      </w:r>
      <w:r>
        <w:rPr>
          <w:rFonts w:hint="eastAsia" w:asciiTheme="majorEastAsia" w:hAnsiTheme="majorEastAsia" w:eastAsiaTheme="majorEastAsia" w:cstheme="majorEastAsia"/>
          <w:color w:val="000000"/>
          <w:sz w:val="28"/>
          <w:szCs w:val="28"/>
        </w:rPr>
        <w:t>元整(小写¥</w:t>
      </w:r>
      <w:r>
        <w:rPr>
          <w:rFonts w:hint="eastAsia" w:ascii="仿宋" w:hAnsi="仿宋" w:eastAsia="仿宋" w:cs="仿宋"/>
          <w:color w:val="000000"/>
          <w:sz w:val="30"/>
          <w:szCs w:val="30"/>
          <w:u w:val="single"/>
        </w:rPr>
        <w:t xml:space="preserve">       </w:t>
      </w:r>
      <w:r>
        <w:rPr>
          <w:rFonts w:hint="eastAsia" w:asciiTheme="majorEastAsia" w:hAnsiTheme="majorEastAsia" w:eastAsiaTheme="majorEastAsia" w:cstheme="majorEastAsia"/>
          <w:color w:val="000000"/>
          <w:sz w:val="28"/>
          <w:szCs w:val="28"/>
        </w:rPr>
        <w:t>元 )，其中税金：</w:t>
      </w:r>
      <w:r>
        <w:rPr>
          <w:rFonts w:hint="eastAsia" w:ascii="仿宋" w:hAnsi="仿宋" w:eastAsia="仿宋" w:cs="仿宋"/>
          <w:color w:val="000000"/>
          <w:sz w:val="30"/>
          <w:szCs w:val="30"/>
          <w:u w:val="single"/>
        </w:rPr>
        <w:t xml:space="preserve">       </w:t>
      </w:r>
      <w:r>
        <w:rPr>
          <w:rFonts w:hint="eastAsia" w:asciiTheme="majorEastAsia" w:hAnsiTheme="majorEastAsia" w:eastAsiaTheme="majorEastAsia" w:cstheme="majorEastAsia"/>
          <w:color w:val="000000"/>
          <w:sz w:val="28"/>
          <w:szCs w:val="28"/>
        </w:rPr>
        <w:t>元</w:t>
      </w:r>
      <w:r>
        <w:rPr>
          <w:rFonts w:hint="eastAsia" w:asciiTheme="majorEastAsia" w:hAnsiTheme="majorEastAsia" w:eastAsiaTheme="majorEastAsia" w:cstheme="majorEastAsia"/>
          <w:color w:val="000000"/>
          <w:sz w:val="28"/>
          <w:szCs w:val="28"/>
          <w:lang w:eastAsia="zh-CN"/>
        </w:rPr>
        <w:t>，除税价：</w:t>
      </w:r>
      <w:r>
        <w:rPr>
          <w:rFonts w:hint="eastAsia" w:asciiTheme="majorEastAsia" w:hAnsiTheme="majorEastAsia" w:eastAsiaTheme="majorEastAsia" w:cstheme="majorEastAsia"/>
          <w:color w:val="000000"/>
          <w:sz w:val="28"/>
          <w:szCs w:val="28"/>
          <w:u w:val="single"/>
          <w:lang w:val="en-US" w:eastAsia="zh-CN"/>
        </w:rPr>
        <w:t xml:space="preserve">        </w:t>
      </w:r>
      <w:r>
        <w:rPr>
          <w:rFonts w:hint="eastAsia" w:asciiTheme="majorEastAsia" w:hAnsiTheme="majorEastAsia" w:eastAsiaTheme="majorEastAsia" w:cstheme="majorEastAsia"/>
          <w:color w:val="000000"/>
          <w:sz w:val="28"/>
          <w:szCs w:val="28"/>
          <w:u w:val="none"/>
          <w:lang w:val="en-US" w:eastAsia="zh-CN"/>
        </w:rPr>
        <w:t>元</w:t>
      </w:r>
      <w:r>
        <w:rPr>
          <w:rFonts w:hint="eastAsia" w:asciiTheme="majorEastAsia" w:hAnsiTheme="majorEastAsia" w:eastAsiaTheme="majorEastAsia" w:cstheme="majorEastAsia"/>
          <w:color w:val="000000"/>
          <w:sz w:val="28"/>
          <w:szCs w:val="28"/>
        </w:rPr>
        <w:t>。</w:t>
      </w:r>
    </w:p>
    <w:p w14:paraId="2678D902">
      <w:pPr>
        <w:pStyle w:val="3"/>
        <w:pageBreakBefore w:val="0"/>
        <w:kinsoku/>
        <w:wordWrap/>
        <w:overflowPunct/>
        <w:topLinePunct w:val="0"/>
        <w:bidi w:val="0"/>
        <w:snapToGrid/>
        <w:spacing w:line="560" w:lineRule="exact"/>
        <w:ind w:firstLine="560" w:firstLineChars="200"/>
        <w:jc w:val="both"/>
        <w:textAlignment w:val="auto"/>
        <w:rPr>
          <w:rFonts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rPr>
        <w:t>7.甲方委托乙方</w:t>
      </w:r>
      <w:r>
        <w:rPr>
          <w:rFonts w:hint="eastAsia" w:asciiTheme="majorEastAsia" w:hAnsiTheme="majorEastAsia" w:eastAsiaTheme="majorEastAsia" w:cstheme="majorEastAsia"/>
          <w:color w:val="000000"/>
          <w:sz w:val="28"/>
          <w:szCs w:val="28"/>
          <w:lang w:eastAsia="zh-CN"/>
        </w:rPr>
        <w:t>就</w:t>
      </w:r>
      <w:r>
        <w:rPr>
          <w:rFonts w:hint="eastAsia" w:ascii="宋体" w:hAnsi="宋体" w:cs="宋体"/>
          <w:color w:val="000000"/>
          <w:kern w:val="0"/>
          <w:sz w:val="28"/>
          <w:szCs w:val="28"/>
          <w:u w:val="single"/>
        </w:rPr>
        <w:t>河池市金城江城区排水防涝管网工程</w:t>
      </w:r>
      <w:r>
        <w:rPr>
          <w:rFonts w:hint="eastAsia" w:asciiTheme="majorEastAsia" w:hAnsiTheme="majorEastAsia" w:eastAsiaTheme="majorEastAsia" w:cstheme="majorEastAsia"/>
          <w:color w:val="000000"/>
          <w:sz w:val="28"/>
          <w:szCs w:val="28"/>
        </w:rPr>
        <w:t>进行技术服务的内容如下：</w:t>
      </w:r>
    </w:p>
    <w:p w14:paraId="3A189E77">
      <w:pPr>
        <w:pStyle w:val="3"/>
        <w:pageBreakBefore w:val="0"/>
        <w:kinsoku/>
        <w:wordWrap/>
        <w:overflowPunct/>
        <w:topLinePunct w:val="0"/>
        <w:bidi w:val="0"/>
        <w:snapToGrid/>
        <w:spacing w:line="560" w:lineRule="exact"/>
        <w:ind w:firstLine="560" w:firstLineChars="200"/>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（1）依据国家法律法规及行业主管部门的要求，协助甲方进行水保验收及按照项目实际情况编制水土保持验收报告，配合甲方报相关行政主管部门进行水保备案。</w:t>
      </w:r>
    </w:p>
    <w:p w14:paraId="76B54DE4">
      <w:pPr>
        <w:pStyle w:val="3"/>
        <w:pageBreakBefore w:val="0"/>
        <w:kinsoku/>
        <w:wordWrap/>
        <w:overflowPunct/>
        <w:topLinePunct w:val="0"/>
        <w:bidi w:val="0"/>
        <w:snapToGrid/>
        <w:spacing w:line="560" w:lineRule="exact"/>
        <w:ind w:firstLine="560" w:firstLineChars="200"/>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（2）技术服务的方式：</w:t>
      </w:r>
      <w:r>
        <w:rPr>
          <w:rFonts w:hint="eastAsia" w:asciiTheme="majorEastAsia" w:hAnsiTheme="majorEastAsia" w:eastAsiaTheme="majorEastAsia" w:cstheme="majorEastAsia"/>
          <w:sz w:val="28"/>
          <w:szCs w:val="28"/>
          <w:u w:val="single"/>
        </w:rPr>
        <w:t>委托有偿服务</w:t>
      </w:r>
      <w:r>
        <w:rPr>
          <w:rFonts w:hint="eastAsia" w:asciiTheme="majorEastAsia" w:hAnsiTheme="majorEastAsia" w:eastAsiaTheme="majorEastAsia" w:cstheme="majorEastAsia"/>
          <w:sz w:val="28"/>
          <w:szCs w:val="28"/>
        </w:rPr>
        <w:t>。</w:t>
      </w:r>
    </w:p>
    <w:p w14:paraId="5753245E">
      <w:pPr>
        <w:pStyle w:val="3"/>
        <w:pageBreakBefore w:val="0"/>
        <w:kinsoku/>
        <w:wordWrap/>
        <w:overflowPunct/>
        <w:topLinePunct w:val="0"/>
        <w:bidi w:val="0"/>
        <w:snapToGrid/>
        <w:spacing w:line="560" w:lineRule="exact"/>
        <w:ind w:firstLine="560" w:firstLineChars="200"/>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8.乙方应按照下列要求完成技术服务工作：</w:t>
      </w:r>
    </w:p>
    <w:p w14:paraId="70FFBFD8">
      <w:pPr>
        <w:pStyle w:val="3"/>
        <w:pageBreakBefore w:val="0"/>
        <w:kinsoku/>
        <w:wordWrap/>
        <w:overflowPunct/>
        <w:topLinePunct w:val="0"/>
        <w:bidi w:val="0"/>
        <w:snapToGrid/>
        <w:spacing w:line="560" w:lineRule="exact"/>
        <w:ind w:firstLine="560" w:firstLineChars="200"/>
        <w:jc w:val="both"/>
        <w:textAlignment w:val="auto"/>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rPr>
        <w:t>（1）技术服务地点：</w:t>
      </w:r>
      <w:r>
        <w:rPr>
          <w:rFonts w:hint="eastAsia" w:ascii="仿宋" w:hAnsi="仿宋" w:eastAsia="仿宋" w:cs="仿宋"/>
          <w:color w:val="000000"/>
          <w:sz w:val="30"/>
          <w:szCs w:val="30"/>
          <w:u w:val="single"/>
          <w:lang w:eastAsia="zh-CN"/>
        </w:rPr>
        <w:t>河池市金城江区</w:t>
      </w:r>
    </w:p>
    <w:p w14:paraId="40CC7E4C">
      <w:pPr>
        <w:pStyle w:val="3"/>
        <w:pageBreakBefore w:val="0"/>
        <w:kinsoku/>
        <w:wordWrap/>
        <w:overflowPunct/>
        <w:topLinePunct w:val="0"/>
        <w:bidi w:val="0"/>
        <w:snapToGrid/>
        <w:spacing w:line="560" w:lineRule="exact"/>
        <w:ind w:firstLine="560" w:firstLineChars="200"/>
        <w:jc w:val="both"/>
        <w:textAlignment w:val="auto"/>
        <w:rPr>
          <w:rFonts w:ascii="宋体" w:hAnsi="宋体"/>
          <w:sz w:val="28"/>
          <w:szCs w:val="28"/>
        </w:rPr>
      </w:pPr>
      <w:r>
        <w:rPr>
          <w:rFonts w:hint="eastAsia" w:asciiTheme="majorEastAsia" w:hAnsiTheme="majorEastAsia" w:eastAsiaTheme="majorEastAsia" w:cstheme="majorEastAsia"/>
          <w:sz w:val="28"/>
          <w:szCs w:val="28"/>
        </w:rPr>
        <w:t>（2）技术服务时间：</w:t>
      </w:r>
      <w:r>
        <w:rPr>
          <w:rFonts w:hint="eastAsia" w:ascii="宋体" w:hAnsi="宋体"/>
          <w:sz w:val="28"/>
          <w:szCs w:val="28"/>
          <w:u w:val="single"/>
        </w:rPr>
        <w:t>自合同签订后至项目</w:t>
      </w:r>
      <w:r>
        <w:rPr>
          <w:rFonts w:hint="eastAsia" w:ascii="宋体" w:hAnsi="宋体"/>
          <w:sz w:val="28"/>
          <w:szCs w:val="28"/>
          <w:u w:val="single"/>
          <w:lang w:eastAsia="zh-CN"/>
        </w:rPr>
        <w:t>通过</w:t>
      </w:r>
      <w:r>
        <w:rPr>
          <w:rFonts w:hint="eastAsia" w:ascii="宋体" w:hAnsi="宋体"/>
          <w:sz w:val="28"/>
          <w:szCs w:val="28"/>
          <w:u w:val="single"/>
        </w:rPr>
        <w:t>水土保持验收并向</w:t>
      </w:r>
      <w:r>
        <w:rPr>
          <w:rFonts w:hint="eastAsia" w:ascii="宋体" w:hAnsi="宋体" w:cs="宋体"/>
          <w:color w:val="000000"/>
          <w:kern w:val="0"/>
          <w:sz w:val="28"/>
          <w:szCs w:val="28"/>
          <w:u w:val="single"/>
        </w:rPr>
        <w:t>报相关行政主管部门</w:t>
      </w:r>
      <w:r>
        <w:rPr>
          <w:rFonts w:hint="eastAsia" w:ascii="宋体" w:hAnsi="宋体"/>
          <w:sz w:val="28"/>
          <w:szCs w:val="28"/>
          <w:u w:val="single"/>
        </w:rPr>
        <w:t>完成</w:t>
      </w:r>
      <w:r>
        <w:rPr>
          <w:rFonts w:hint="eastAsia" w:ascii="宋体" w:hAnsi="宋体" w:cs="宋体"/>
          <w:color w:val="000000"/>
          <w:kern w:val="0"/>
          <w:sz w:val="28"/>
          <w:szCs w:val="28"/>
          <w:u w:val="single"/>
        </w:rPr>
        <w:t>备案</w:t>
      </w:r>
      <w:r>
        <w:rPr>
          <w:rFonts w:hint="eastAsia" w:ascii="宋体" w:hAnsi="宋体"/>
          <w:sz w:val="28"/>
          <w:szCs w:val="28"/>
        </w:rPr>
        <w:t>。</w:t>
      </w:r>
    </w:p>
    <w:p w14:paraId="12587D2F">
      <w:pPr>
        <w:pStyle w:val="3"/>
        <w:pageBreakBefore w:val="0"/>
        <w:kinsoku/>
        <w:wordWrap/>
        <w:overflowPunct/>
        <w:topLinePunct w:val="0"/>
        <w:bidi w:val="0"/>
        <w:snapToGrid/>
        <w:spacing w:line="560" w:lineRule="exact"/>
        <w:ind w:firstLine="560" w:firstLineChars="200"/>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（3）技术服务质量要求：</w:t>
      </w:r>
      <w:r>
        <w:rPr>
          <w:rFonts w:hint="eastAsia" w:asciiTheme="majorEastAsia" w:hAnsiTheme="majorEastAsia" w:eastAsiaTheme="majorEastAsia" w:cstheme="majorEastAsia"/>
          <w:sz w:val="28"/>
          <w:szCs w:val="28"/>
          <w:u w:val="single"/>
        </w:rPr>
        <w:t>按时、按质完成水土保持验收调查，并按时提交水土保持验收报告</w:t>
      </w:r>
      <w:r>
        <w:rPr>
          <w:rFonts w:hint="eastAsia" w:asciiTheme="majorEastAsia" w:hAnsiTheme="majorEastAsia" w:eastAsiaTheme="majorEastAsia" w:cstheme="majorEastAsia"/>
          <w:sz w:val="28"/>
          <w:szCs w:val="28"/>
        </w:rPr>
        <w:t>。</w:t>
      </w:r>
    </w:p>
    <w:p w14:paraId="60605F88">
      <w:pPr>
        <w:pStyle w:val="3"/>
        <w:pageBreakBefore w:val="0"/>
        <w:kinsoku/>
        <w:wordWrap/>
        <w:overflowPunct/>
        <w:topLinePunct w:val="0"/>
        <w:bidi w:val="0"/>
        <w:snapToGrid/>
        <w:spacing w:line="560" w:lineRule="exact"/>
        <w:ind w:firstLine="560" w:firstLineChars="200"/>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（4）技术服务质量期限要求：</w:t>
      </w:r>
      <w:r>
        <w:rPr>
          <w:rFonts w:hint="eastAsia" w:asciiTheme="majorEastAsia" w:hAnsiTheme="majorEastAsia" w:eastAsiaTheme="majorEastAsia" w:cstheme="majorEastAsia"/>
          <w:sz w:val="28"/>
          <w:szCs w:val="28"/>
          <w:u w:val="single"/>
        </w:rPr>
        <w:t>至本项目提交水土保持验收报告通过验收并</w:t>
      </w:r>
      <w:r>
        <w:rPr>
          <w:rFonts w:hint="eastAsia" w:asciiTheme="majorEastAsia" w:hAnsiTheme="majorEastAsia" w:eastAsiaTheme="majorEastAsia" w:cstheme="majorEastAsia"/>
          <w:sz w:val="28"/>
          <w:szCs w:val="28"/>
          <w:u w:val="single"/>
          <w:lang w:val="en-US" w:eastAsia="zh-CN"/>
        </w:rPr>
        <w:t>取</w:t>
      </w:r>
      <w:r>
        <w:rPr>
          <w:rFonts w:hint="eastAsia" w:asciiTheme="majorEastAsia" w:hAnsiTheme="majorEastAsia" w:eastAsiaTheme="majorEastAsia" w:cstheme="majorEastAsia"/>
          <w:sz w:val="28"/>
          <w:szCs w:val="28"/>
          <w:u w:val="single"/>
        </w:rPr>
        <w:t>得水利局备案回执为止</w:t>
      </w:r>
      <w:r>
        <w:rPr>
          <w:rFonts w:hint="eastAsia" w:asciiTheme="majorEastAsia" w:hAnsiTheme="majorEastAsia" w:eastAsiaTheme="majorEastAsia" w:cstheme="majorEastAsia"/>
          <w:sz w:val="28"/>
          <w:szCs w:val="28"/>
        </w:rPr>
        <w:t>。</w:t>
      </w:r>
    </w:p>
    <w:p w14:paraId="134836AF">
      <w:pPr>
        <w:pStyle w:val="3"/>
        <w:pageBreakBefore w:val="0"/>
        <w:kinsoku/>
        <w:wordWrap/>
        <w:overflowPunct/>
        <w:topLinePunct w:val="0"/>
        <w:bidi w:val="0"/>
        <w:snapToGrid/>
        <w:spacing w:line="560" w:lineRule="exact"/>
        <w:ind w:firstLine="560" w:firstLineChars="200"/>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9.为保证乙方有效进行技术服务工作，甲方应当向乙方提供下列工作条件和协助事项：</w:t>
      </w:r>
    </w:p>
    <w:p w14:paraId="2E2A0BFE">
      <w:pPr>
        <w:pStyle w:val="3"/>
        <w:pageBreakBefore w:val="0"/>
        <w:kinsoku/>
        <w:wordWrap/>
        <w:overflowPunct/>
        <w:topLinePunct w:val="0"/>
        <w:bidi w:val="0"/>
        <w:snapToGrid/>
        <w:spacing w:line="560" w:lineRule="exact"/>
        <w:ind w:firstLine="560" w:firstLineChars="200"/>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（1）提供项目备案资料、相关技术资料、项目初步方案文本、水土保持方案报告及批复、施工图设计、施工监理资料以及竣工结算资料。</w:t>
      </w:r>
    </w:p>
    <w:p w14:paraId="2B1C021E">
      <w:pPr>
        <w:pStyle w:val="3"/>
        <w:pageBreakBefore w:val="0"/>
        <w:kinsoku/>
        <w:wordWrap/>
        <w:overflowPunct/>
        <w:topLinePunct w:val="0"/>
        <w:bidi w:val="0"/>
        <w:snapToGrid/>
        <w:spacing w:line="560" w:lineRule="exact"/>
        <w:ind w:firstLine="560" w:firstLineChars="200"/>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（2）其他有关资料。</w:t>
      </w:r>
    </w:p>
    <w:p w14:paraId="34157348">
      <w:pPr>
        <w:pStyle w:val="3"/>
        <w:pageBreakBefore w:val="0"/>
        <w:kinsoku/>
        <w:wordWrap/>
        <w:overflowPunct/>
        <w:topLinePunct w:val="0"/>
        <w:bidi w:val="0"/>
        <w:snapToGrid/>
        <w:spacing w:line="560" w:lineRule="exact"/>
        <w:ind w:firstLine="560" w:firstLineChars="200"/>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（3）根据项目建设进度甲方提供上述工作条件和协作事项的时间及方式：合同签订后</w:t>
      </w:r>
      <w:r>
        <w:rPr>
          <w:rFonts w:hint="eastAsia" w:asciiTheme="majorEastAsia" w:hAnsiTheme="majorEastAsia" w:eastAsiaTheme="majorEastAsia" w:cstheme="majorEastAsia"/>
          <w:sz w:val="28"/>
          <w:szCs w:val="28"/>
          <w:u w:val="single"/>
        </w:rPr>
        <w:t xml:space="preserve"> 5 </w:t>
      </w:r>
      <w:r>
        <w:rPr>
          <w:rFonts w:hint="eastAsia" w:asciiTheme="majorEastAsia" w:hAnsiTheme="majorEastAsia" w:eastAsiaTheme="majorEastAsia" w:cstheme="majorEastAsia"/>
          <w:sz w:val="28"/>
          <w:szCs w:val="28"/>
        </w:rPr>
        <w:t>日内提供上述资料。</w:t>
      </w:r>
    </w:p>
    <w:p w14:paraId="7136DC62">
      <w:pPr>
        <w:pStyle w:val="3"/>
        <w:pageBreakBefore w:val="0"/>
        <w:kinsoku/>
        <w:wordWrap/>
        <w:overflowPunct/>
        <w:topLinePunct w:val="0"/>
        <w:bidi w:val="0"/>
        <w:snapToGrid/>
        <w:spacing w:line="560" w:lineRule="exact"/>
        <w:ind w:firstLine="560" w:firstLineChars="200"/>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10.甲方向乙方支付技术服务报酬及支付方式为：</w:t>
      </w:r>
    </w:p>
    <w:p w14:paraId="5448284A">
      <w:pPr>
        <w:pStyle w:val="3"/>
        <w:pageBreakBefore w:val="0"/>
        <w:kinsoku/>
        <w:wordWrap/>
        <w:overflowPunct/>
        <w:topLinePunct w:val="0"/>
        <w:bidi w:val="0"/>
        <w:snapToGrid/>
        <w:spacing w:line="560" w:lineRule="exact"/>
        <w:ind w:firstLine="560" w:firstLineChars="200"/>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（1）技术服务费总额为签约合同价，为完成本合同所发生的一切费用（含完成合同项目所需的劳务、材料、设备、仪器、运输、检测与试验、完全警戒、管理、保险、税费、利润等费用）。</w:t>
      </w:r>
    </w:p>
    <w:p w14:paraId="3E459EFD">
      <w:pPr>
        <w:pageBreakBefore w:val="0"/>
        <w:kinsoku/>
        <w:wordWrap/>
        <w:overflowPunct/>
        <w:topLinePunct w:val="0"/>
        <w:autoSpaceDE w:val="0"/>
        <w:autoSpaceDN w:val="0"/>
        <w:bidi w:val="0"/>
        <w:adjustRightInd w:val="0"/>
        <w:snapToGrid/>
        <w:spacing w:line="560" w:lineRule="exact"/>
        <w:ind w:firstLine="560" w:firstLineChars="200"/>
        <w:textAlignment w:val="auto"/>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lang w:val="zh-CN"/>
        </w:rPr>
        <w:t>（2）技术服务费支付方式由甲方</w:t>
      </w:r>
      <w:r>
        <w:rPr>
          <w:rFonts w:hint="eastAsia" w:asciiTheme="majorEastAsia" w:hAnsiTheme="majorEastAsia" w:eastAsiaTheme="majorEastAsia" w:cstheme="majorEastAsia"/>
          <w:sz w:val="28"/>
          <w:szCs w:val="28"/>
          <w:u w:val="single"/>
        </w:rPr>
        <w:t xml:space="preserve"> 银行转账 </w:t>
      </w:r>
      <w:r>
        <w:rPr>
          <w:rFonts w:hint="eastAsia" w:asciiTheme="majorEastAsia" w:hAnsiTheme="majorEastAsia" w:eastAsiaTheme="majorEastAsia" w:cstheme="majorEastAsia"/>
          <w:sz w:val="28"/>
          <w:szCs w:val="28"/>
          <w:lang w:val="zh-CN"/>
        </w:rPr>
        <w:t>支付</w:t>
      </w:r>
      <w:r>
        <w:rPr>
          <w:rFonts w:hint="eastAsia" w:asciiTheme="majorEastAsia" w:hAnsiTheme="majorEastAsia" w:eastAsiaTheme="majorEastAsia" w:cstheme="majorEastAsia"/>
          <w:sz w:val="28"/>
          <w:szCs w:val="28"/>
          <w:lang w:val="en-US" w:eastAsia="zh-CN"/>
        </w:rPr>
        <w:t>给</w:t>
      </w:r>
      <w:r>
        <w:rPr>
          <w:rFonts w:hint="eastAsia" w:asciiTheme="majorEastAsia" w:hAnsiTheme="majorEastAsia" w:eastAsiaTheme="majorEastAsia" w:cstheme="majorEastAsia"/>
          <w:sz w:val="28"/>
          <w:szCs w:val="28"/>
          <w:lang w:val="zh-CN"/>
        </w:rPr>
        <w:t>乙方。</w:t>
      </w:r>
    </w:p>
    <w:p w14:paraId="21885EF7">
      <w:pPr>
        <w:pStyle w:val="3"/>
        <w:pageBreakBefore w:val="0"/>
        <w:kinsoku/>
        <w:wordWrap/>
        <w:overflowPunct/>
        <w:topLinePunct w:val="0"/>
        <w:bidi w:val="0"/>
        <w:snapToGrid/>
        <w:spacing w:line="560" w:lineRule="exact"/>
        <w:ind w:firstLine="560" w:firstLineChars="200"/>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（3）乙方向甲方提交符合国家和水保行业要求的本工程水土保持验收报告并获得通过水土保持设施验收，取得水行政主管部门报备文件后，乙方向甲方提交完整且合格的支付申请材料和正式税务增值税专用发票</w:t>
      </w:r>
      <w:r>
        <w:rPr>
          <w:rFonts w:hint="eastAsia" w:ascii="宋体" w:hAnsi="宋体" w:cs="宋体"/>
          <w:sz w:val="28"/>
          <w:szCs w:val="28"/>
          <w:u w:val="single"/>
          <w:lang w:val="en-US" w:eastAsia="zh-CN"/>
        </w:rPr>
        <w:t xml:space="preserve">    </w:t>
      </w:r>
      <w:r>
        <w:rPr>
          <w:rFonts w:hint="eastAsia" w:ascii="宋体" w:hAnsi="宋体" w:cs="宋体"/>
          <w:sz w:val="28"/>
          <w:szCs w:val="28"/>
          <w:lang w:val="en-US" w:eastAsia="zh-CN"/>
        </w:rPr>
        <w:t>%（注：小规模纳税人税率为3%，一般纳税人税率为6%）</w:t>
      </w:r>
      <w:r>
        <w:rPr>
          <w:rFonts w:hint="eastAsia" w:asciiTheme="majorEastAsia" w:hAnsiTheme="majorEastAsia" w:eastAsiaTheme="majorEastAsia" w:cstheme="majorEastAsia"/>
          <w:sz w:val="28"/>
          <w:szCs w:val="28"/>
        </w:rPr>
        <w:t>后，甲方按程序签批完成后一次性支付全部费用。</w:t>
      </w:r>
    </w:p>
    <w:p w14:paraId="405E4A59">
      <w:pPr>
        <w:pageBreakBefore w:val="0"/>
        <w:kinsoku/>
        <w:wordWrap/>
        <w:overflowPunct/>
        <w:topLinePunct w:val="0"/>
        <w:autoSpaceDE w:val="0"/>
        <w:autoSpaceDN w:val="0"/>
        <w:bidi w:val="0"/>
        <w:adjustRightInd w:val="0"/>
        <w:snapToGrid/>
        <w:spacing w:line="560" w:lineRule="exact"/>
        <w:ind w:firstLine="560" w:firstLineChars="200"/>
        <w:textAlignment w:val="auto"/>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lang w:val="zh-CN"/>
        </w:rPr>
        <w:t>（4）乙方开户行、开户名称和</w:t>
      </w:r>
      <w:r>
        <w:rPr>
          <w:rFonts w:hint="eastAsia" w:asciiTheme="majorEastAsia" w:hAnsiTheme="majorEastAsia" w:eastAsiaTheme="majorEastAsia" w:cstheme="majorEastAsia"/>
          <w:sz w:val="28"/>
          <w:szCs w:val="28"/>
        </w:rPr>
        <w:t>账</w:t>
      </w:r>
      <w:r>
        <w:rPr>
          <w:rFonts w:hint="eastAsia" w:asciiTheme="majorEastAsia" w:hAnsiTheme="majorEastAsia" w:eastAsiaTheme="majorEastAsia" w:cstheme="majorEastAsia"/>
          <w:sz w:val="28"/>
          <w:szCs w:val="28"/>
          <w:lang w:val="zh-CN"/>
        </w:rPr>
        <w:t>号为：</w:t>
      </w:r>
    </w:p>
    <w:p w14:paraId="6B8376FE">
      <w:pPr>
        <w:pStyle w:val="3"/>
        <w:pageBreakBefore w:val="0"/>
        <w:kinsoku/>
        <w:wordWrap/>
        <w:overflowPunct/>
        <w:topLinePunct w:val="0"/>
        <w:bidi w:val="0"/>
        <w:snapToGrid/>
        <w:spacing w:line="560" w:lineRule="exact"/>
        <w:ind w:firstLine="560" w:firstLineChars="200"/>
        <w:jc w:val="both"/>
        <w:textAlignment w:val="auto"/>
        <w:rPr>
          <w:rFonts w:hint="default" w:ascii="宋体" w:hAnsi="宋体" w:eastAsia="宋体" w:cs="宋体"/>
          <w:sz w:val="28"/>
          <w:szCs w:val="28"/>
          <w:u w:val="single"/>
          <w:lang w:val="en-US" w:eastAsia="zh-CN"/>
        </w:rPr>
      </w:pPr>
      <w:r>
        <w:rPr>
          <w:rFonts w:hint="eastAsia" w:ascii="宋体" w:hAnsi="宋体" w:eastAsia="宋体" w:cs="宋体"/>
          <w:sz w:val="28"/>
          <w:szCs w:val="28"/>
          <w:lang w:val="en-US" w:eastAsia="zh-CN"/>
        </w:rPr>
        <w:t>开 户 行：</w:t>
      </w:r>
      <w:r>
        <w:rPr>
          <w:rFonts w:hint="eastAsia" w:ascii="宋体" w:hAnsi="宋体" w:eastAsia="宋体" w:cs="宋体"/>
          <w:sz w:val="28"/>
          <w:szCs w:val="28"/>
          <w:u w:val="single"/>
          <w:lang w:val="en-US" w:eastAsia="zh-CN"/>
        </w:rPr>
        <w:t xml:space="preserve">                 </w:t>
      </w:r>
    </w:p>
    <w:p w14:paraId="48433915">
      <w:pPr>
        <w:pStyle w:val="3"/>
        <w:pageBreakBefore w:val="0"/>
        <w:kinsoku/>
        <w:wordWrap/>
        <w:overflowPunct/>
        <w:topLinePunct w:val="0"/>
        <w:bidi w:val="0"/>
        <w:snapToGrid/>
        <w:spacing w:line="560" w:lineRule="exact"/>
        <w:ind w:firstLine="560" w:firstLineChars="200"/>
        <w:jc w:val="both"/>
        <w:textAlignment w:val="auto"/>
        <w:rPr>
          <w:rFonts w:hint="default" w:ascii="宋体" w:hAnsi="宋体" w:eastAsia="宋体" w:cs="宋体"/>
          <w:sz w:val="28"/>
          <w:szCs w:val="28"/>
          <w:u w:val="single"/>
          <w:lang w:val="en-US" w:eastAsia="zh-CN"/>
        </w:rPr>
      </w:pPr>
      <w:r>
        <w:rPr>
          <w:rFonts w:hint="eastAsia" w:ascii="宋体" w:hAnsi="宋体" w:eastAsia="宋体" w:cs="宋体"/>
          <w:sz w:val="28"/>
          <w:szCs w:val="28"/>
          <w:lang w:val="zh-CN" w:eastAsia="zh-CN"/>
        </w:rPr>
        <w:t>开户名称：</w:t>
      </w:r>
      <w:r>
        <w:rPr>
          <w:rFonts w:hint="eastAsia" w:ascii="宋体" w:hAnsi="宋体" w:eastAsia="宋体" w:cs="宋体"/>
          <w:sz w:val="28"/>
          <w:szCs w:val="28"/>
          <w:u w:val="single"/>
          <w:lang w:val="en-US" w:eastAsia="zh-CN"/>
        </w:rPr>
        <w:t xml:space="preserve">                 </w:t>
      </w:r>
    </w:p>
    <w:p w14:paraId="0A286EB2">
      <w:pPr>
        <w:pStyle w:val="3"/>
        <w:pageBreakBefore w:val="0"/>
        <w:kinsoku/>
        <w:wordWrap/>
        <w:overflowPunct/>
        <w:topLinePunct w:val="0"/>
        <w:bidi w:val="0"/>
        <w:snapToGrid/>
        <w:spacing w:line="560" w:lineRule="exact"/>
        <w:ind w:firstLine="560" w:firstLineChars="200"/>
        <w:jc w:val="both"/>
        <w:textAlignment w:val="auto"/>
        <w:rPr>
          <w:rFonts w:hint="default" w:asciiTheme="majorEastAsia" w:hAnsiTheme="majorEastAsia" w:eastAsiaTheme="majorEastAsia" w:cstheme="majorEastAsia"/>
          <w:sz w:val="28"/>
          <w:szCs w:val="28"/>
          <w:u w:val="single"/>
          <w:lang w:val="en-US" w:eastAsia="zh-CN"/>
        </w:rPr>
      </w:pPr>
      <w:r>
        <w:rPr>
          <w:rFonts w:hint="eastAsia" w:asciiTheme="majorEastAsia" w:hAnsiTheme="majorEastAsia" w:eastAsiaTheme="majorEastAsia" w:cstheme="majorEastAsia"/>
          <w:bCs/>
          <w:sz w:val="28"/>
          <w:szCs w:val="28"/>
        </w:rPr>
        <w:t>账</w:t>
      </w:r>
      <w:r>
        <w:rPr>
          <w:rFonts w:hint="eastAsia" w:asciiTheme="majorEastAsia" w:hAnsiTheme="majorEastAsia" w:eastAsiaTheme="majorEastAsia" w:cstheme="majorEastAsia"/>
          <w:bCs/>
          <w:sz w:val="28"/>
          <w:szCs w:val="28"/>
          <w:lang w:val="zh-CN"/>
        </w:rPr>
        <w:t xml:space="preserve">    号：</w:t>
      </w:r>
      <w:r>
        <w:rPr>
          <w:rFonts w:hint="eastAsia" w:asciiTheme="majorEastAsia" w:hAnsiTheme="majorEastAsia" w:eastAsiaTheme="majorEastAsia" w:cstheme="majorEastAsia"/>
          <w:bCs/>
          <w:sz w:val="28"/>
          <w:szCs w:val="28"/>
          <w:u w:val="single"/>
          <w:lang w:val="en-US" w:eastAsia="zh-CN"/>
        </w:rPr>
        <w:t xml:space="preserve">                 </w:t>
      </w:r>
    </w:p>
    <w:p w14:paraId="162CA7FF">
      <w:pPr>
        <w:pageBreakBefore w:val="0"/>
        <w:kinsoku/>
        <w:wordWrap/>
        <w:overflowPunct/>
        <w:topLinePunct w:val="0"/>
        <w:autoSpaceDE w:val="0"/>
        <w:autoSpaceDN w:val="0"/>
        <w:bidi w:val="0"/>
        <w:adjustRightInd w:val="0"/>
        <w:snapToGrid/>
        <w:spacing w:line="560" w:lineRule="exact"/>
        <w:ind w:firstLine="560" w:firstLineChars="200"/>
        <w:textAlignment w:val="auto"/>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lang w:val="zh-CN"/>
        </w:rPr>
        <w:t>11.本合同的变更必须由双方协商一致，并以书面形式确认。</w:t>
      </w:r>
      <w:r>
        <w:rPr>
          <w:rFonts w:hint="eastAsia" w:ascii="宋体" w:hAnsi="宋体" w:cs="宋体"/>
          <w:sz w:val="28"/>
          <w:szCs w:val="28"/>
          <w:lang w:val="zh-CN"/>
        </w:rPr>
        <w:t>合同履行期间</w:t>
      </w:r>
      <w:r>
        <w:rPr>
          <w:rFonts w:hint="eastAsia" w:asciiTheme="majorEastAsia" w:hAnsiTheme="majorEastAsia" w:eastAsiaTheme="majorEastAsia" w:cstheme="majorEastAsia"/>
          <w:sz w:val="28"/>
          <w:szCs w:val="28"/>
          <w:lang w:val="zh-CN"/>
        </w:rPr>
        <w:t>，一方可以向另一方提出变更合同权利与义务的请求，另一方应当在</w:t>
      </w:r>
      <w:r>
        <w:rPr>
          <w:rFonts w:hint="eastAsia" w:asciiTheme="majorEastAsia" w:hAnsiTheme="majorEastAsia" w:eastAsiaTheme="majorEastAsia" w:cstheme="majorEastAsia"/>
          <w:sz w:val="28"/>
          <w:szCs w:val="28"/>
          <w:u w:val="single"/>
          <w:lang w:val="zh-CN"/>
        </w:rPr>
        <w:t xml:space="preserve"> 5 </w:t>
      </w:r>
      <w:r>
        <w:rPr>
          <w:rFonts w:hint="eastAsia" w:asciiTheme="majorEastAsia" w:hAnsiTheme="majorEastAsia" w:eastAsiaTheme="majorEastAsia" w:cstheme="majorEastAsia"/>
          <w:sz w:val="28"/>
          <w:szCs w:val="28"/>
          <w:lang w:val="zh-CN"/>
        </w:rPr>
        <w:t>日内予以答复；逾期</w:t>
      </w:r>
      <w:r>
        <w:rPr>
          <w:rFonts w:hint="eastAsia" w:asciiTheme="majorEastAsia" w:hAnsiTheme="majorEastAsia" w:eastAsiaTheme="majorEastAsia" w:cstheme="majorEastAsia"/>
          <w:sz w:val="28"/>
          <w:szCs w:val="28"/>
        </w:rPr>
        <w:t>不</w:t>
      </w:r>
      <w:r>
        <w:rPr>
          <w:rFonts w:hint="eastAsia" w:asciiTheme="majorEastAsia" w:hAnsiTheme="majorEastAsia" w:eastAsiaTheme="majorEastAsia" w:cstheme="majorEastAsia"/>
          <w:sz w:val="28"/>
          <w:szCs w:val="28"/>
          <w:lang w:val="zh-CN"/>
        </w:rPr>
        <w:t>答复的，视为</w:t>
      </w:r>
      <w:r>
        <w:rPr>
          <w:rFonts w:hint="eastAsia" w:asciiTheme="majorEastAsia" w:hAnsiTheme="majorEastAsia" w:eastAsiaTheme="majorEastAsia" w:cstheme="majorEastAsia"/>
          <w:sz w:val="28"/>
          <w:szCs w:val="28"/>
        </w:rPr>
        <w:t>不</w:t>
      </w:r>
      <w:r>
        <w:rPr>
          <w:rFonts w:hint="eastAsia" w:asciiTheme="majorEastAsia" w:hAnsiTheme="majorEastAsia" w:eastAsiaTheme="majorEastAsia" w:cstheme="majorEastAsia"/>
          <w:sz w:val="28"/>
          <w:szCs w:val="28"/>
          <w:lang w:val="zh-CN"/>
        </w:rPr>
        <w:t>同意</w:t>
      </w:r>
      <w:r>
        <w:rPr>
          <w:rFonts w:hint="eastAsia" w:asciiTheme="majorEastAsia" w:hAnsiTheme="majorEastAsia" w:eastAsiaTheme="majorEastAsia" w:cstheme="majorEastAsia"/>
          <w:sz w:val="28"/>
          <w:szCs w:val="28"/>
        </w:rPr>
        <w:t>变更</w:t>
      </w:r>
      <w:r>
        <w:rPr>
          <w:rFonts w:hint="eastAsia" w:asciiTheme="majorEastAsia" w:hAnsiTheme="majorEastAsia" w:eastAsiaTheme="majorEastAsia" w:cstheme="majorEastAsia"/>
          <w:sz w:val="28"/>
          <w:szCs w:val="28"/>
          <w:lang w:val="zh-CN"/>
        </w:rPr>
        <w:t>。</w:t>
      </w:r>
    </w:p>
    <w:p w14:paraId="169B156B">
      <w:pPr>
        <w:pageBreakBefore w:val="0"/>
        <w:kinsoku/>
        <w:wordWrap/>
        <w:overflowPunct/>
        <w:topLinePunct w:val="0"/>
        <w:autoSpaceDE w:val="0"/>
        <w:autoSpaceDN w:val="0"/>
        <w:bidi w:val="0"/>
        <w:adjustRightInd w:val="0"/>
        <w:snapToGrid/>
        <w:spacing w:line="560" w:lineRule="exact"/>
        <w:ind w:firstLine="560" w:firstLineChars="200"/>
        <w:textAlignment w:val="auto"/>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lang w:val="zh-CN"/>
        </w:rPr>
        <w:t>12.双方确定以下列标准和方式对乙方的技术服务工作成果进行验收：</w:t>
      </w:r>
    </w:p>
    <w:p w14:paraId="70717CC9">
      <w:pPr>
        <w:pageBreakBefore w:val="0"/>
        <w:kinsoku/>
        <w:wordWrap/>
        <w:overflowPunct/>
        <w:topLinePunct w:val="0"/>
        <w:autoSpaceDE w:val="0"/>
        <w:autoSpaceDN w:val="0"/>
        <w:bidi w:val="0"/>
        <w:adjustRightInd w:val="0"/>
        <w:snapToGrid/>
        <w:spacing w:line="560" w:lineRule="exact"/>
        <w:ind w:firstLine="560" w:firstLineChars="200"/>
        <w:textAlignment w:val="auto"/>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lang w:val="zh-CN"/>
        </w:rPr>
        <w:t>（1）乙方完成技术服务工作的形式：</w:t>
      </w:r>
      <w:r>
        <w:rPr>
          <w:rFonts w:hint="eastAsia" w:asciiTheme="majorEastAsia" w:hAnsiTheme="majorEastAsia" w:eastAsiaTheme="majorEastAsia" w:cstheme="majorEastAsia"/>
          <w:sz w:val="28"/>
          <w:szCs w:val="28"/>
          <w:u w:val="single"/>
          <w:lang w:val="zh-CN"/>
        </w:rPr>
        <w:t>向业主提交符合水行政主管部门要求的水土保持设施验收报告及其它材料</w:t>
      </w:r>
      <w:r>
        <w:rPr>
          <w:rFonts w:hint="eastAsia" w:asciiTheme="majorEastAsia" w:hAnsiTheme="majorEastAsia" w:eastAsiaTheme="majorEastAsia" w:cstheme="majorEastAsia"/>
          <w:sz w:val="28"/>
          <w:szCs w:val="28"/>
          <w:lang w:val="zh-CN"/>
        </w:rPr>
        <w:t>。</w:t>
      </w:r>
    </w:p>
    <w:p w14:paraId="1F9AA28D">
      <w:pPr>
        <w:pageBreakBefore w:val="0"/>
        <w:kinsoku/>
        <w:wordWrap/>
        <w:overflowPunct/>
        <w:topLinePunct w:val="0"/>
        <w:autoSpaceDE w:val="0"/>
        <w:autoSpaceDN w:val="0"/>
        <w:bidi w:val="0"/>
        <w:adjustRightInd w:val="0"/>
        <w:snapToGrid/>
        <w:spacing w:line="560" w:lineRule="exact"/>
        <w:ind w:firstLine="560" w:firstLineChars="200"/>
        <w:textAlignment w:val="auto"/>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lang w:val="zh-CN"/>
        </w:rPr>
        <w:t>（2）技术服务工作成果的验收标准：</w:t>
      </w:r>
      <w:r>
        <w:rPr>
          <w:rFonts w:hint="eastAsia" w:asciiTheme="majorEastAsia" w:hAnsiTheme="majorEastAsia" w:eastAsiaTheme="majorEastAsia" w:cstheme="majorEastAsia"/>
          <w:sz w:val="28"/>
          <w:szCs w:val="28"/>
          <w:u w:val="single"/>
          <w:lang w:val="zh-CN"/>
        </w:rPr>
        <w:t>符合国家水土保持有关标准及规范</w:t>
      </w:r>
      <w:r>
        <w:rPr>
          <w:rFonts w:hint="eastAsia" w:asciiTheme="majorEastAsia" w:hAnsiTheme="majorEastAsia" w:eastAsiaTheme="majorEastAsia" w:cstheme="majorEastAsia"/>
          <w:sz w:val="28"/>
          <w:szCs w:val="28"/>
          <w:lang w:val="zh-CN"/>
        </w:rPr>
        <w:t>。</w:t>
      </w:r>
    </w:p>
    <w:p w14:paraId="61827B15">
      <w:pPr>
        <w:pageBreakBefore w:val="0"/>
        <w:kinsoku/>
        <w:wordWrap/>
        <w:overflowPunct/>
        <w:topLinePunct w:val="0"/>
        <w:autoSpaceDE w:val="0"/>
        <w:autoSpaceDN w:val="0"/>
        <w:bidi w:val="0"/>
        <w:adjustRightInd w:val="0"/>
        <w:snapToGrid/>
        <w:spacing w:line="560" w:lineRule="exact"/>
        <w:ind w:firstLine="560" w:firstLineChars="200"/>
        <w:textAlignment w:val="auto"/>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lang w:val="zh-CN"/>
        </w:rPr>
        <w:t>（3）技术服务工作成果的验收方法：</w:t>
      </w:r>
      <w:r>
        <w:rPr>
          <w:rFonts w:hint="eastAsia" w:asciiTheme="majorEastAsia" w:hAnsiTheme="majorEastAsia" w:eastAsiaTheme="majorEastAsia" w:cstheme="majorEastAsia"/>
          <w:sz w:val="28"/>
          <w:szCs w:val="28"/>
          <w:u w:val="single"/>
          <w:lang w:val="zh-CN"/>
        </w:rPr>
        <w:t>通过水行政主管部门的认可并获得验收备案回执</w:t>
      </w:r>
      <w:r>
        <w:rPr>
          <w:rFonts w:hint="eastAsia" w:asciiTheme="majorEastAsia" w:hAnsiTheme="majorEastAsia" w:eastAsiaTheme="majorEastAsia" w:cstheme="majorEastAsia"/>
          <w:sz w:val="28"/>
          <w:szCs w:val="28"/>
          <w:lang w:val="zh-CN"/>
        </w:rPr>
        <w:t>。</w:t>
      </w:r>
    </w:p>
    <w:p w14:paraId="4D3F2F24">
      <w:pPr>
        <w:pageBreakBefore w:val="0"/>
        <w:kinsoku/>
        <w:wordWrap/>
        <w:overflowPunct/>
        <w:topLinePunct w:val="0"/>
        <w:autoSpaceDE w:val="0"/>
        <w:autoSpaceDN w:val="0"/>
        <w:bidi w:val="0"/>
        <w:adjustRightInd w:val="0"/>
        <w:snapToGrid/>
        <w:spacing w:line="560" w:lineRule="exact"/>
        <w:ind w:firstLine="560" w:firstLineChars="200"/>
        <w:textAlignment w:val="auto"/>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lang w:val="zh-CN"/>
        </w:rPr>
        <w:t>13.双方确定：</w:t>
      </w:r>
    </w:p>
    <w:p w14:paraId="0CC2AE19">
      <w:pPr>
        <w:pageBreakBefore w:val="0"/>
        <w:kinsoku/>
        <w:wordWrap/>
        <w:overflowPunct/>
        <w:topLinePunct w:val="0"/>
        <w:autoSpaceDE w:val="0"/>
        <w:autoSpaceDN w:val="0"/>
        <w:bidi w:val="0"/>
        <w:adjustRightInd w:val="0"/>
        <w:snapToGrid/>
        <w:spacing w:line="560" w:lineRule="exact"/>
        <w:ind w:firstLine="560" w:firstLineChars="200"/>
        <w:textAlignment w:val="auto"/>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lang w:val="zh-CN"/>
        </w:rPr>
        <w:t>（1）在本合同有效期内，甲方利用乙方提交的技术服务工作成果所完成的新的技术成果，归甲方所有。</w:t>
      </w:r>
    </w:p>
    <w:p w14:paraId="0EF18D2B">
      <w:pPr>
        <w:pageBreakBefore w:val="0"/>
        <w:kinsoku/>
        <w:wordWrap/>
        <w:overflowPunct/>
        <w:topLinePunct w:val="0"/>
        <w:autoSpaceDE w:val="0"/>
        <w:autoSpaceDN w:val="0"/>
        <w:bidi w:val="0"/>
        <w:adjustRightInd w:val="0"/>
        <w:snapToGrid/>
        <w:spacing w:line="560" w:lineRule="exact"/>
        <w:ind w:firstLine="560" w:firstLineChars="200"/>
        <w:textAlignment w:val="auto"/>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lang w:val="zh-CN"/>
        </w:rPr>
        <w:t>（2）在本合同有效期内，乙方利用甲方提供的技术资料和工作条件所完成的新的技术成果，归</w:t>
      </w:r>
      <w:r>
        <w:rPr>
          <w:rFonts w:hint="eastAsia" w:asciiTheme="majorEastAsia" w:hAnsiTheme="majorEastAsia" w:eastAsiaTheme="majorEastAsia" w:cstheme="majorEastAsia"/>
          <w:color w:val="000000"/>
          <w:sz w:val="28"/>
          <w:szCs w:val="28"/>
          <w:lang w:val="zh-CN"/>
        </w:rPr>
        <w:t>甲</w:t>
      </w:r>
      <w:r>
        <w:rPr>
          <w:rFonts w:hint="eastAsia" w:asciiTheme="majorEastAsia" w:hAnsiTheme="majorEastAsia" w:eastAsiaTheme="majorEastAsia" w:cstheme="majorEastAsia"/>
          <w:sz w:val="28"/>
          <w:szCs w:val="28"/>
          <w:lang w:val="zh-CN"/>
        </w:rPr>
        <w:t>方所有。</w:t>
      </w:r>
    </w:p>
    <w:p w14:paraId="602F1F23">
      <w:pPr>
        <w:pageBreakBefore w:val="0"/>
        <w:kinsoku/>
        <w:wordWrap/>
        <w:overflowPunct/>
        <w:topLinePunct w:val="0"/>
        <w:autoSpaceDE w:val="0"/>
        <w:autoSpaceDN w:val="0"/>
        <w:bidi w:val="0"/>
        <w:adjustRightInd w:val="0"/>
        <w:snapToGrid/>
        <w:spacing w:line="560" w:lineRule="exact"/>
        <w:ind w:firstLine="560" w:firstLineChars="200"/>
        <w:textAlignment w:val="auto"/>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lang w:val="zh-CN"/>
        </w:rPr>
        <w:t>14.双方确定，在本合同有效期内，甲方指定</w:t>
      </w:r>
      <w:r>
        <w:rPr>
          <w:rFonts w:hint="eastAsia" w:asciiTheme="majorEastAsia" w:hAnsiTheme="majorEastAsia" w:eastAsiaTheme="majorEastAsia" w:cstheme="majorEastAsia"/>
          <w:sz w:val="28"/>
          <w:szCs w:val="28"/>
          <w:u w:val="single"/>
          <w:lang w:val="en-US" w:eastAsia="zh-CN"/>
        </w:rPr>
        <w:t xml:space="preserve">     </w:t>
      </w:r>
      <w:r>
        <w:rPr>
          <w:rFonts w:hint="eastAsia" w:asciiTheme="majorEastAsia" w:hAnsiTheme="majorEastAsia" w:eastAsiaTheme="majorEastAsia" w:cstheme="majorEastAsia"/>
          <w:sz w:val="28"/>
          <w:szCs w:val="28"/>
          <w:lang w:val="zh-CN"/>
        </w:rPr>
        <w:t>为甲方项目联系人，乙方指定</w:t>
      </w:r>
      <w:r>
        <w:rPr>
          <w:rFonts w:hint="eastAsia" w:asciiTheme="majorEastAsia" w:hAnsiTheme="majorEastAsia" w:eastAsiaTheme="majorEastAsia" w:cstheme="majorEastAsia"/>
          <w:sz w:val="28"/>
          <w:szCs w:val="28"/>
          <w:u w:val="single"/>
          <w:lang w:val="en-US" w:eastAsia="zh-CN"/>
        </w:rPr>
        <w:t xml:space="preserve">       </w:t>
      </w:r>
      <w:r>
        <w:rPr>
          <w:rFonts w:hint="eastAsia" w:asciiTheme="majorEastAsia" w:hAnsiTheme="majorEastAsia" w:eastAsiaTheme="majorEastAsia" w:cstheme="majorEastAsia"/>
          <w:sz w:val="28"/>
          <w:szCs w:val="28"/>
          <w:lang w:val="zh-CN"/>
        </w:rPr>
        <w:t>为乙方项目联系人。项目联系人承担以下责任：</w:t>
      </w:r>
    </w:p>
    <w:p w14:paraId="36B55D77">
      <w:pPr>
        <w:pageBreakBefore w:val="0"/>
        <w:kinsoku/>
        <w:wordWrap/>
        <w:overflowPunct/>
        <w:topLinePunct w:val="0"/>
        <w:autoSpaceDE w:val="0"/>
        <w:autoSpaceDN w:val="0"/>
        <w:bidi w:val="0"/>
        <w:adjustRightInd w:val="0"/>
        <w:snapToGrid/>
        <w:spacing w:line="560" w:lineRule="exact"/>
        <w:ind w:firstLine="560" w:firstLineChars="200"/>
        <w:textAlignment w:val="auto"/>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lang w:val="zh-CN"/>
        </w:rPr>
        <w:t>协商处理合同约定事项。</w:t>
      </w:r>
    </w:p>
    <w:p w14:paraId="34C9DEC6">
      <w:pPr>
        <w:pageBreakBefore w:val="0"/>
        <w:kinsoku/>
        <w:wordWrap/>
        <w:overflowPunct/>
        <w:topLinePunct w:val="0"/>
        <w:autoSpaceDE w:val="0"/>
        <w:autoSpaceDN w:val="0"/>
        <w:bidi w:val="0"/>
        <w:adjustRightInd w:val="0"/>
        <w:snapToGrid/>
        <w:spacing w:line="560" w:lineRule="exact"/>
        <w:ind w:firstLine="560" w:firstLineChars="200"/>
        <w:textAlignment w:val="auto"/>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lang w:val="zh-CN"/>
        </w:rPr>
        <w:t>一方变更项目联系人的，应当及时以书面形式通知另一方，未及时通知并影响本合同履行或造成损失的，应承担相应的责任。</w:t>
      </w:r>
    </w:p>
    <w:p w14:paraId="73326B55">
      <w:pPr>
        <w:pageBreakBefore w:val="0"/>
        <w:kinsoku/>
        <w:wordWrap/>
        <w:overflowPunct/>
        <w:topLinePunct w:val="0"/>
        <w:bidi w:val="0"/>
        <w:snapToGrid/>
        <w:spacing w:line="560" w:lineRule="exact"/>
        <w:ind w:firstLine="560" w:firstLineChars="200"/>
        <w:textAlignment w:val="auto"/>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Cs/>
          <w:sz w:val="28"/>
          <w:szCs w:val="28"/>
        </w:rPr>
        <w:t>15.违约责任</w:t>
      </w:r>
    </w:p>
    <w:p w14:paraId="30D127D3">
      <w:pPr>
        <w:pageBreakBefore w:val="0"/>
        <w:kinsoku/>
        <w:wordWrap/>
        <w:overflowPunct/>
        <w:topLinePunct w:val="0"/>
        <w:bidi w:val="0"/>
        <w:snapToGrid/>
        <w:spacing w:line="560" w:lineRule="exact"/>
        <w:ind w:firstLine="560" w:firstLineChars="200"/>
        <w:textAlignment w:val="auto"/>
        <w:rPr>
          <w:rFonts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rPr>
        <w:t>（一）甲方的违约责任</w:t>
      </w:r>
    </w:p>
    <w:p w14:paraId="386619FD">
      <w:pPr>
        <w:pageBreakBefore w:val="0"/>
        <w:kinsoku/>
        <w:wordWrap/>
        <w:overflowPunct/>
        <w:topLinePunct w:val="0"/>
        <w:bidi w:val="0"/>
        <w:snapToGrid/>
        <w:spacing w:line="560" w:lineRule="exact"/>
        <w:ind w:firstLine="560" w:firstLineChars="200"/>
        <w:textAlignment w:val="auto"/>
        <w:rPr>
          <w:rFonts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rPr>
        <w:t>1、甲方违反约定，不能按时提供技术资料或工作条件或提供技术资料不准确，导致乙方无法按期完成并提交技术成果的，乙方有权按延误的时间予以顺延</w:t>
      </w:r>
      <w:r>
        <w:rPr>
          <w:rFonts w:hint="eastAsia" w:asciiTheme="majorEastAsia" w:hAnsiTheme="majorEastAsia" w:eastAsiaTheme="majorEastAsia" w:cstheme="majorEastAsia"/>
          <w:color w:val="000000"/>
          <w:sz w:val="28"/>
          <w:szCs w:val="28"/>
          <w:lang w:eastAsia="zh-CN"/>
        </w:rPr>
        <w:t>，但费用不予增加</w:t>
      </w:r>
      <w:r>
        <w:rPr>
          <w:rFonts w:hint="eastAsia" w:asciiTheme="majorEastAsia" w:hAnsiTheme="majorEastAsia" w:eastAsiaTheme="majorEastAsia" w:cstheme="majorEastAsia"/>
          <w:color w:val="000000"/>
          <w:sz w:val="28"/>
          <w:szCs w:val="28"/>
        </w:rPr>
        <w:t>。</w:t>
      </w:r>
    </w:p>
    <w:p w14:paraId="5B1375F8">
      <w:pPr>
        <w:pageBreakBefore w:val="0"/>
        <w:kinsoku/>
        <w:wordWrap/>
        <w:overflowPunct/>
        <w:topLinePunct w:val="0"/>
        <w:bidi w:val="0"/>
        <w:snapToGrid/>
        <w:spacing w:line="560" w:lineRule="exact"/>
        <w:ind w:firstLine="560" w:firstLineChars="200"/>
        <w:textAlignment w:val="auto"/>
        <w:rPr>
          <w:rFonts w:hint="eastAsia"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rPr>
        <w:t>2、甲方因故要求中途终止合同时，应及时书面通知乙方。乙方不退还甲方支付的定金。若乙方已开展工作，甲方应按乙方实际完成的工作量支付相应的服务费。</w:t>
      </w:r>
    </w:p>
    <w:p w14:paraId="5A24D275">
      <w:pPr>
        <w:pageBreakBefore w:val="0"/>
        <w:kinsoku/>
        <w:wordWrap/>
        <w:overflowPunct/>
        <w:topLinePunct w:val="0"/>
        <w:bidi w:val="0"/>
        <w:snapToGrid/>
        <w:spacing w:line="560" w:lineRule="exact"/>
        <w:ind w:firstLine="560" w:firstLineChars="200"/>
        <w:textAlignment w:val="auto"/>
        <w:rPr>
          <w:rFonts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lang w:val="en-US" w:eastAsia="zh-CN"/>
        </w:rPr>
        <w:t>3</w:t>
      </w:r>
      <w:r>
        <w:rPr>
          <w:rFonts w:hint="eastAsia" w:asciiTheme="majorEastAsia" w:hAnsiTheme="majorEastAsia" w:eastAsiaTheme="majorEastAsia" w:cstheme="majorEastAsia"/>
          <w:color w:val="000000"/>
          <w:sz w:val="28"/>
          <w:szCs w:val="28"/>
        </w:rPr>
        <w:t>、</w:t>
      </w:r>
      <w:r>
        <w:rPr>
          <w:rFonts w:hint="eastAsia" w:asciiTheme="majorEastAsia" w:hAnsiTheme="majorEastAsia" w:eastAsiaTheme="majorEastAsia" w:cstheme="majorEastAsia"/>
          <w:color w:val="000000"/>
          <w:sz w:val="28"/>
          <w:szCs w:val="28"/>
          <w:lang w:eastAsia="zh-CN"/>
        </w:rPr>
        <w:t>甲方</w:t>
      </w:r>
      <w:r>
        <w:rPr>
          <w:rFonts w:hint="eastAsia" w:asciiTheme="majorEastAsia" w:hAnsiTheme="majorEastAsia" w:eastAsiaTheme="majorEastAsia" w:cstheme="majorEastAsia"/>
          <w:color w:val="000000"/>
          <w:sz w:val="28"/>
          <w:szCs w:val="28"/>
          <w:lang w:val="en-US" w:eastAsia="zh-CN"/>
        </w:rPr>
        <w:t>逾期付款利息按下列方法确定：每逾期一天，按应付未付金额的0.1‰计算违约金，违约金上限为合同价的2%。</w:t>
      </w:r>
    </w:p>
    <w:p w14:paraId="761F6B23">
      <w:pPr>
        <w:pageBreakBefore w:val="0"/>
        <w:kinsoku/>
        <w:wordWrap/>
        <w:overflowPunct/>
        <w:topLinePunct w:val="0"/>
        <w:bidi w:val="0"/>
        <w:snapToGrid/>
        <w:spacing w:line="560" w:lineRule="exact"/>
        <w:ind w:firstLine="560" w:firstLineChars="200"/>
        <w:textAlignment w:val="auto"/>
        <w:rPr>
          <w:rFonts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rPr>
        <w:t>（二）乙方的违约责任</w:t>
      </w:r>
    </w:p>
    <w:p w14:paraId="5EBACE62">
      <w:pPr>
        <w:pageBreakBefore w:val="0"/>
        <w:kinsoku/>
        <w:wordWrap/>
        <w:overflowPunct/>
        <w:topLinePunct w:val="0"/>
        <w:bidi w:val="0"/>
        <w:snapToGrid/>
        <w:spacing w:line="560" w:lineRule="exact"/>
        <w:ind w:firstLine="560" w:firstLineChars="200"/>
        <w:textAlignment w:val="auto"/>
        <w:rPr>
          <w:rFonts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rPr>
        <w:t>1、乙方未按</w:t>
      </w:r>
      <w:r>
        <w:rPr>
          <w:rFonts w:hint="eastAsia" w:asciiTheme="majorEastAsia" w:hAnsiTheme="majorEastAsia" w:eastAsiaTheme="majorEastAsia" w:cstheme="majorEastAsia"/>
          <w:color w:val="000000"/>
          <w:sz w:val="28"/>
          <w:szCs w:val="28"/>
          <w:lang w:eastAsia="zh-CN"/>
        </w:rPr>
        <w:t>相关规范要求</w:t>
      </w:r>
      <w:r>
        <w:rPr>
          <w:rFonts w:hint="eastAsia" w:asciiTheme="majorEastAsia" w:hAnsiTheme="majorEastAsia" w:eastAsiaTheme="majorEastAsia" w:cstheme="majorEastAsia"/>
          <w:color w:val="000000"/>
          <w:sz w:val="28"/>
          <w:szCs w:val="28"/>
        </w:rPr>
        <w:t>提交技术成果时</w:t>
      </w:r>
      <w:r>
        <w:rPr>
          <w:rFonts w:hint="eastAsia" w:asciiTheme="majorEastAsia" w:hAnsiTheme="majorEastAsia" w:eastAsiaTheme="majorEastAsia" w:cstheme="majorEastAsia"/>
          <w:color w:val="000000"/>
          <w:sz w:val="28"/>
          <w:szCs w:val="28"/>
          <w:lang w:val="en-US" w:eastAsia="zh-CN"/>
        </w:rPr>
        <w:t>(水土保持设施验收通过2个月内向甲方提交)</w:t>
      </w:r>
      <w:r>
        <w:rPr>
          <w:rFonts w:hint="eastAsia" w:asciiTheme="majorEastAsia" w:hAnsiTheme="majorEastAsia" w:eastAsiaTheme="majorEastAsia" w:cstheme="majorEastAsia"/>
          <w:color w:val="000000"/>
          <w:sz w:val="28"/>
          <w:szCs w:val="28"/>
        </w:rPr>
        <w:t>，乙方从应提交日期的次日起计算，每逾期一天，向甲方赔偿合同金额的</w:t>
      </w:r>
      <w:r>
        <w:rPr>
          <w:rFonts w:hint="eastAsia" w:asciiTheme="majorEastAsia" w:hAnsiTheme="majorEastAsia" w:eastAsiaTheme="majorEastAsia" w:cstheme="majorEastAsia"/>
          <w:color w:val="000000"/>
          <w:sz w:val="28"/>
          <w:szCs w:val="28"/>
          <w:u w:val="single"/>
        </w:rPr>
        <w:t>1%</w:t>
      </w:r>
      <w:r>
        <w:rPr>
          <w:rFonts w:hint="eastAsia" w:asciiTheme="majorEastAsia" w:hAnsiTheme="majorEastAsia" w:eastAsiaTheme="majorEastAsia" w:cstheme="majorEastAsia"/>
          <w:color w:val="000000"/>
          <w:sz w:val="28"/>
          <w:szCs w:val="28"/>
        </w:rPr>
        <w:t>，作为违约金，违约金最高不超过合同金额的20%。</w:t>
      </w:r>
    </w:p>
    <w:p w14:paraId="3B4DF99C">
      <w:pPr>
        <w:pageBreakBefore w:val="0"/>
        <w:kinsoku/>
        <w:wordWrap/>
        <w:overflowPunct/>
        <w:topLinePunct w:val="0"/>
        <w:bidi w:val="0"/>
        <w:snapToGrid/>
        <w:spacing w:line="560" w:lineRule="exact"/>
        <w:ind w:firstLine="560" w:firstLineChars="200"/>
        <w:textAlignment w:val="auto"/>
        <w:rPr>
          <w:rFonts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rPr>
        <w:t>2、乙方故意或重大过失，提供错误或不合格信息而导致甲方损失的，乙方有责任采取补救措施，并按实际情况赔偿甲方因此而造成的直接损失，同时，向甲方赔偿该合同金额的</w:t>
      </w:r>
      <w:r>
        <w:rPr>
          <w:rFonts w:hint="eastAsia" w:asciiTheme="majorEastAsia" w:hAnsiTheme="majorEastAsia" w:eastAsiaTheme="majorEastAsia" w:cstheme="majorEastAsia"/>
          <w:color w:val="000000"/>
          <w:sz w:val="28"/>
          <w:szCs w:val="28"/>
          <w:u w:val="single"/>
        </w:rPr>
        <w:t>20</w:t>
      </w:r>
      <w:r>
        <w:rPr>
          <w:rFonts w:hint="eastAsia" w:asciiTheme="majorEastAsia" w:hAnsiTheme="majorEastAsia" w:eastAsiaTheme="majorEastAsia" w:cstheme="majorEastAsia"/>
          <w:color w:val="000000"/>
          <w:sz w:val="28"/>
          <w:szCs w:val="28"/>
        </w:rPr>
        <w:t>%，作为违约金。</w:t>
      </w:r>
    </w:p>
    <w:p w14:paraId="4C3EF1AB">
      <w:pPr>
        <w:pageBreakBefore w:val="0"/>
        <w:kinsoku/>
        <w:wordWrap/>
        <w:overflowPunct/>
        <w:topLinePunct w:val="0"/>
        <w:bidi w:val="0"/>
        <w:snapToGrid/>
        <w:spacing w:line="560" w:lineRule="exact"/>
        <w:ind w:firstLine="560" w:firstLineChars="200"/>
        <w:textAlignment w:val="auto"/>
        <w:rPr>
          <w:rFonts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rPr>
        <w:t>3、乙方违反本合同约定，甲方有权解除合同，乙方应返还已收取的服务费用，并另行支付合同价的</w:t>
      </w:r>
      <w:r>
        <w:rPr>
          <w:rFonts w:hint="eastAsia" w:asciiTheme="majorEastAsia" w:hAnsiTheme="majorEastAsia" w:eastAsiaTheme="majorEastAsia" w:cstheme="majorEastAsia"/>
          <w:color w:val="000000"/>
          <w:sz w:val="28"/>
          <w:szCs w:val="28"/>
          <w:u w:val="single"/>
        </w:rPr>
        <w:t>20</w:t>
      </w:r>
      <w:r>
        <w:rPr>
          <w:rFonts w:hint="eastAsia" w:asciiTheme="majorEastAsia" w:hAnsiTheme="majorEastAsia" w:eastAsiaTheme="majorEastAsia" w:cstheme="majorEastAsia"/>
          <w:color w:val="000000"/>
          <w:sz w:val="28"/>
          <w:szCs w:val="28"/>
        </w:rPr>
        <w:t>%的违约金，同时甲方因维权所产生的诉讼费、保全费、保全保险费、鉴定费、律师费等损失由乙方承担。</w:t>
      </w:r>
    </w:p>
    <w:p w14:paraId="314D105B">
      <w:pPr>
        <w:pStyle w:val="3"/>
        <w:pageBreakBefore w:val="0"/>
        <w:kinsoku/>
        <w:wordWrap/>
        <w:overflowPunct/>
        <w:topLinePunct w:val="0"/>
        <w:bidi w:val="0"/>
        <w:snapToGrid/>
        <w:spacing w:line="560" w:lineRule="exact"/>
        <w:ind w:firstLine="560" w:firstLineChars="200"/>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16.双方因履行本合同而发生的争议，应协商、调解解决。协商、调解不成的，确定按以下第</w:t>
      </w:r>
      <w:r>
        <w:rPr>
          <w:rFonts w:hint="eastAsia" w:asciiTheme="majorEastAsia" w:hAnsiTheme="majorEastAsia" w:eastAsiaTheme="majorEastAsia" w:cstheme="majorEastAsia"/>
          <w:sz w:val="28"/>
          <w:szCs w:val="28"/>
          <w:u w:val="single"/>
        </w:rPr>
        <w:t xml:space="preserve"> 2 </w:t>
      </w:r>
      <w:r>
        <w:rPr>
          <w:rFonts w:hint="eastAsia" w:asciiTheme="majorEastAsia" w:hAnsiTheme="majorEastAsia" w:eastAsiaTheme="majorEastAsia" w:cstheme="majorEastAsia"/>
          <w:sz w:val="28"/>
          <w:szCs w:val="28"/>
        </w:rPr>
        <w:t>种方式处理：</w:t>
      </w:r>
    </w:p>
    <w:p w14:paraId="1B842F25">
      <w:pPr>
        <w:pStyle w:val="3"/>
        <w:pageBreakBefore w:val="0"/>
        <w:kinsoku/>
        <w:wordWrap/>
        <w:overflowPunct/>
        <w:topLinePunct w:val="0"/>
        <w:bidi w:val="0"/>
        <w:snapToGrid/>
        <w:spacing w:line="560" w:lineRule="exact"/>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（1）提交</w:t>
      </w:r>
      <w:r>
        <w:rPr>
          <w:rFonts w:hint="eastAsia" w:asciiTheme="majorEastAsia" w:hAnsiTheme="majorEastAsia" w:eastAsiaTheme="majorEastAsia" w:cstheme="majorEastAsia"/>
          <w:sz w:val="28"/>
          <w:szCs w:val="28"/>
          <w:u w:val="single"/>
          <w:lang w:val="zh-CN"/>
        </w:rPr>
        <w:t>当地</w:t>
      </w:r>
      <w:r>
        <w:rPr>
          <w:rFonts w:hint="eastAsia" w:asciiTheme="majorEastAsia" w:hAnsiTheme="majorEastAsia" w:eastAsiaTheme="majorEastAsia" w:cstheme="majorEastAsia"/>
          <w:sz w:val="28"/>
          <w:szCs w:val="28"/>
        </w:rPr>
        <w:t>仲裁委员会仲裁；</w:t>
      </w:r>
    </w:p>
    <w:p w14:paraId="0826A808">
      <w:pPr>
        <w:pStyle w:val="3"/>
        <w:pageBreakBefore w:val="0"/>
        <w:kinsoku/>
        <w:wordWrap/>
        <w:overflowPunct/>
        <w:topLinePunct w:val="0"/>
        <w:bidi w:val="0"/>
        <w:snapToGrid/>
        <w:spacing w:line="560" w:lineRule="exact"/>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（2）依法向甲方所在地人民法院起诉。</w:t>
      </w:r>
    </w:p>
    <w:p w14:paraId="4A3E3C15">
      <w:pPr>
        <w:pStyle w:val="3"/>
        <w:pageBreakBefore w:val="0"/>
        <w:kinsoku/>
        <w:wordWrap/>
        <w:overflowPunct/>
        <w:topLinePunct w:val="0"/>
        <w:bidi w:val="0"/>
        <w:snapToGrid/>
        <w:spacing w:line="560" w:lineRule="exact"/>
        <w:ind w:firstLine="420" w:firstLineChars="150"/>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17.本合同正本一式</w:t>
      </w:r>
      <w:r>
        <w:rPr>
          <w:rFonts w:hint="eastAsia" w:asciiTheme="majorEastAsia" w:hAnsiTheme="majorEastAsia" w:eastAsiaTheme="majorEastAsia" w:cstheme="majorEastAsia"/>
          <w:b/>
          <w:bCs/>
          <w:sz w:val="28"/>
          <w:szCs w:val="28"/>
          <w:u w:val="single"/>
        </w:rPr>
        <w:t>肆</w:t>
      </w:r>
      <w:r>
        <w:rPr>
          <w:rFonts w:hint="eastAsia" w:asciiTheme="majorEastAsia" w:hAnsiTheme="majorEastAsia" w:eastAsiaTheme="majorEastAsia" w:cstheme="majorEastAsia"/>
          <w:sz w:val="28"/>
          <w:szCs w:val="28"/>
        </w:rPr>
        <w:t>份，双方各执</w:t>
      </w:r>
      <w:r>
        <w:rPr>
          <w:rFonts w:hint="eastAsia" w:asciiTheme="majorEastAsia" w:hAnsiTheme="majorEastAsia" w:eastAsiaTheme="majorEastAsia" w:cstheme="majorEastAsia"/>
          <w:b/>
          <w:bCs/>
          <w:sz w:val="28"/>
          <w:szCs w:val="28"/>
          <w:u w:val="single"/>
        </w:rPr>
        <w:t>贰</w:t>
      </w:r>
      <w:r>
        <w:rPr>
          <w:rFonts w:hint="eastAsia" w:asciiTheme="majorEastAsia" w:hAnsiTheme="majorEastAsia" w:eastAsiaTheme="majorEastAsia" w:cstheme="majorEastAsia"/>
          <w:sz w:val="28"/>
          <w:szCs w:val="28"/>
        </w:rPr>
        <w:t>份，具体同等法律效力。</w:t>
      </w:r>
    </w:p>
    <w:p w14:paraId="7AD0A7D7">
      <w:pPr>
        <w:pStyle w:val="3"/>
        <w:pageBreakBefore w:val="0"/>
        <w:kinsoku/>
        <w:wordWrap/>
        <w:overflowPunct/>
        <w:topLinePunct w:val="0"/>
        <w:bidi w:val="0"/>
        <w:snapToGrid/>
        <w:spacing w:line="560" w:lineRule="exact"/>
        <w:ind w:firstLine="420" w:firstLineChars="150"/>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18.本合同经双方签字盖章后生效。</w:t>
      </w:r>
    </w:p>
    <w:p w14:paraId="00916036">
      <w:pPr>
        <w:pStyle w:val="3"/>
        <w:pageBreakBefore w:val="0"/>
        <w:kinsoku/>
        <w:wordWrap/>
        <w:overflowPunct/>
        <w:topLinePunct w:val="0"/>
        <w:bidi w:val="0"/>
        <w:snapToGrid/>
        <w:spacing w:line="560" w:lineRule="exact"/>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-----------------------以下无正文----------------------------</w:t>
      </w:r>
    </w:p>
    <w:p w14:paraId="2D732D81">
      <w:pPr>
        <w:pStyle w:val="3"/>
        <w:pageBreakBefore w:val="0"/>
        <w:kinsoku/>
        <w:wordWrap/>
        <w:overflowPunct/>
        <w:topLinePunct w:val="0"/>
        <w:bidi w:val="0"/>
        <w:snapToGrid/>
        <w:spacing w:line="560" w:lineRule="exact"/>
        <w:jc w:val="both"/>
        <w:textAlignment w:val="auto"/>
      </w:pPr>
    </w:p>
    <w:p w14:paraId="05561E32">
      <w:pPr>
        <w:pStyle w:val="3"/>
        <w:pageBreakBefore w:val="0"/>
        <w:kinsoku/>
        <w:wordWrap/>
        <w:overflowPunct/>
        <w:topLinePunct w:val="0"/>
        <w:bidi w:val="0"/>
        <w:snapToGrid/>
        <w:spacing w:line="560" w:lineRule="exact"/>
        <w:textAlignment w:val="auto"/>
        <w:rPr>
          <w:rFonts w:hint="eastAsia" w:asciiTheme="majorEastAsia" w:hAnsiTheme="majorEastAsia" w:eastAsiaTheme="majorEastAsia" w:cstheme="majorEastAsia"/>
          <w:sz w:val="28"/>
          <w:szCs w:val="28"/>
        </w:rPr>
      </w:pPr>
    </w:p>
    <w:p w14:paraId="0BFF7856">
      <w:pPr>
        <w:pStyle w:val="3"/>
        <w:pageBreakBefore w:val="0"/>
        <w:kinsoku/>
        <w:wordWrap/>
        <w:overflowPunct/>
        <w:topLinePunct w:val="0"/>
        <w:bidi w:val="0"/>
        <w:snapToGrid/>
        <w:spacing w:line="560" w:lineRule="exact"/>
        <w:textAlignment w:val="auto"/>
        <w:rPr>
          <w:rFonts w:hint="eastAsia" w:asciiTheme="majorEastAsia" w:hAnsiTheme="majorEastAsia" w:eastAsiaTheme="majorEastAsia" w:cstheme="majorEastAsia"/>
          <w:sz w:val="28"/>
          <w:szCs w:val="28"/>
        </w:rPr>
      </w:pPr>
    </w:p>
    <w:p w14:paraId="6E918704">
      <w:pPr>
        <w:pStyle w:val="3"/>
        <w:pageBreakBefore w:val="0"/>
        <w:kinsoku/>
        <w:wordWrap/>
        <w:overflowPunct/>
        <w:topLinePunct w:val="0"/>
        <w:bidi w:val="0"/>
        <w:snapToGrid/>
        <w:spacing w:line="560" w:lineRule="exact"/>
        <w:textAlignment w:val="auto"/>
      </w:pPr>
      <w:r>
        <w:rPr>
          <w:rFonts w:hint="eastAsia" w:asciiTheme="majorEastAsia" w:hAnsiTheme="majorEastAsia" w:eastAsiaTheme="majorEastAsia" w:cstheme="majorEastAsia"/>
          <w:sz w:val="28"/>
          <w:szCs w:val="28"/>
        </w:rPr>
        <w:t>（本页为签章页）</w:t>
      </w:r>
    </w:p>
    <w:tbl>
      <w:tblPr>
        <w:tblStyle w:val="10"/>
        <w:tblpPr w:leftFromText="180" w:rightFromText="180" w:vertAnchor="text" w:horzAnchor="page" w:tblpX="1741" w:tblpY="300"/>
        <w:tblOverlap w:val="never"/>
        <w:tblW w:w="8881" w:type="dxa"/>
        <w:tblInd w:w="0" w:type="dxa"/>
        <w:tblLayout w:type="fixed"/>
        <w:tblCellMar>
          <w:top w:w="0" w:type="dxa"/>
          <w:left w:w="108" w:type="dxa"/>
          <w:bottom w:w="0" w:type="dxa"/>
          <w:right w:w="108" w:type="dxa"/>
        </w:tblCellMar>
      </w:tblPr>
      <w:tblGrid>
        <w:gridCol w:w="4436"/>
        <w:gridCol w:w="4445"/>
      </w:tblGrid>
      <w:tr w14:paraId="13D80206">
        <w:tblPrEx>
          <w:tblCellMar>
            <w:top w:w="0" w:type="dxa"/>
            <w:left w:w="108" w:type="dxa"/>
            <w:bottom w:w="0" w:type="dxa"/>
            <w:right w:w="108" w:type="dxa"/>
          </w:tblCellMar>
        </w:tblPrEx>
        <w:trPr>
          <w:trHeight w:val="737" w:hRule="atLeast"/>
        </w:trPr>
        <w:tc>
          <w:tcPr>
            <w:tcW w:w="4436" w:type="dxa"/>
            <w:tcBorders>
              <w:top w:val="single" w:color="auto" w:sz="4" w:space="0"/>
              <w:left w:val="single" w:color="auto" w:sz="4" w:space="0"/>
              <w:bottom w:val="single" w:color="auto" w:sz="4" w:space="0"/>
              <w:right w:val="single" w:color="auto" w:sz="4" w:space="0"/>
            </w:tcBorders>
            <w:vAlign w:val="center"/>
          </w:tcPr>
          <w:p w14:paraId="3BDD3256">
            <w:pPr>
              <w:pStyle w:val="2"/>
              <w:pageBreakBefore w:val="0"/>
              <w:kinsoku/>
              <w:wordWrap/>
              <w:overflowPunct/>
              <w:topLinePunct w:val="0"/>
              <w:bidi w:val="0"/>
              <w:snapToGrid/>
              <w:spacing w:line="560" w:lineRule="exact"/>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b w:val="0"/>
                <w:bCs/>
                <w:sz w:val="28"/>
                <w:szCs w:val="28"/>
              </w:rPr>
              <w:t>甲方(盖章)：</w:t>
            </w:r>
          </w:p>
        </w:tc>
        <w:tc>
          <w:tcPr>
            <w:tcW w:w="4445" w:type="dxa"/>
            <w:tcBorders>
              <w:top w:val="single" w:color="auto" w:sz="4" w:space="0"/>
              <w:left w:val="single" w:color="auto" w:sz="4" w:space="0"/>
              <w:bottom w:val="single" w:color="auto" w:sz="4" w:space="0"/>
              <w:right w:val="single" w:color="auto" w:sz="4" w:space="0"/>
            </w:tcBorders>
            <w:vAlign w:val="center"/>
          </w:tcPr>
          <w:p w14:paraId="5EFF844A">
            <w:pPr>
              <w:pageBreakBefore w:val="0"/>
              <w:widowControl/>
              <w:kinsoku/>
              <w:wordWrap/>
              <w:overflowPunct/>
              <w:topLinePunct w:val="0"/>
              <w:bidi w:val="0"/>
              <w:snapToGrid/>
              <w:spacing w:line="560" w:lineRule="exact"/>
              <w:textAlignment w:val="auto"/>
              <w:rPr>
                <w:rFonts w:asciiTheme="majorEastAsia" w:hAnsiTheme="majorEastAsia" w:eastAsiaTheme="majorEastAsia" w:cstheme="majorEastAsia"/>
                <w:b/>
                <w:sz w:val="28"/>
                <w:szCs w:val="28"/>
              </w:rPr>
            </w:pPr>
            <w:r>
              <w:rPr>
                <w:rFonts w:hint="eastAsia" w:asciiTheme="majorEastAsia" w:hAnsiTheme="majorEastAsia" w:eastAsiaTheme="majorEastAsia" w:cstheme="majorEastAsia"/>
                <w:sz w:val="28"/>
                <w:szCs w:val="28"/>
              </w:rPr>
              <w:t xml:space="preserve">乙方(盖章)： </w:t>
            </w:r>
          </w:p>
        </w:tc>
      </w:tr>
      <w:tr w14:paraId="5DD13C11">
        <w:tblPrEx>
          <w:tblCellMar>
            <w:top w:w="0" w:type="dxa"/>
            <w:left w:w="108" w:type="dxa"/>
            <w:bottom w:w="0" w:type="dxa"/>
            <w:right w:w="108" w:type="dxa"/>
          </w:tblCellMar>
        </w:tblPrEx>
        <w:trPr>
          <w:trHeight w:val="1183" w:hRule="atLeast"/>
        </w:trPr>
        <w:tc>
          <w:tcPr>
            <w:tcW w:w="4436" w:type="dxa"/>
            <w:tcBorders>
              <w:top w:val="single" w:color="auto" w:sz="4" w:space="0"/>
              <w:left w:val="single" w:color="auto" w:sz="4" w:space="0"/>
              <w:bottom w:val="single" w:color="auto" w:sz="4" w:space="0"/>
              <w:right w:val="single" w:color="auto" w:sz="4" w:space="0"/>
            </w:tcBorders>
            <w:vAlign w:val="center"/>
          </w:tcPr>
          <w:p w14:paraId="337C6CF6">
            <w:pPr>
              <w:pageBreakBefore w:val="0"/>
              <w:widowControl/>
              <w:kinsoku/>
              <w:wordWrap/>
              <w:overflowPunct/>
              <w:topLinePunct w:val="0"/>
              <w:bidi w:val="0"/>
              <w:snapToGrid/>
              <w:spacing w:line="560" w:lineRule="exact"/>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法定代表人:</w:t>
            </w:r>
          </w:p>
          <w:p w14:paraId="18FE1542">
            <w:pPr>
              <w:pageBreakBefore w:val="0"/>
              <w:widowControl/>
              <w:kinsoku/>
              <w:wordWrap/>
              <w:overflowPunct/>
              <w:topLinePunct w:val="0"/>
              <w:bidi w:val="0"/>
              <w:snapToGrid/>
              <w:spacing w:line="560" w:lineRule="exact"/>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(签字或盖章)</w:t>
            </w:r>
          </w:p>
        </w:tc>
        <w:tc>
          <w:tcPr>
            <w:tcW w:w="4445" w:type="dxa"/>
            <w:tcBorders>
              <w:top w:val="single" w:color="auto" w:sz="4" w:space="0"/>
              <w:left w:val="single" w:color="auto" w:sz="4" w:space="0"/>
              <w:bottom w:val="single" w:color="auto" w:sz="4" w:space="0"/>
              <w:right w:val="single" w:color="auto" w:sz="4" w:space="0"/>
            </w:tcBorders>
            <w:vAlign w:val="center"/>
          </w:tcPr>
          <w:p w14:paraId="5E2C19B8">
            <w:pPr>
              <w:pageBreakBefore w:val="0"/>
              <w:widowControl/>
              <w:kinsoku/>
              <w:wordWrap/>
              <w:overflowPunct/>
              <w:topLinePunct w:val="0"/>
              <w:bidi w:val="0"/>
              <w:snapToGrid/>
              <w:spacing w:line="560" w:lineRule="exact"/>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法定代表人：</w:t>
            </w:r>
          </w:p>
          <w:p w14:paraId="2EE4A9D4">
            <w:pPr>
              <w:pageBreakBefore w:val="0"/>
              <w:widowControl/>
              <w:kinsoku/>
              <w:wordWrap/>
              <w:overflowPunct/>
              <w:topLinePunct w:val="0"/>
              <w:bidi w:val="0"/>
              <w:snapToGrid/>
              <w:spacing w:line="560" w:lineRule="exact"/>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(签字或盖章)</w:t>
            </w:r>
          </w:p>
        </w:tc>
      </w:tr>
      <w:tr w14:paraId="13850300">
        <w:tblPrEx>
          <w:tblCellMar>
            <w:top w:w="0" w:type="dxa"/>
            <w:left w:w="108" w:type="dxa"/>
            <w:bottom w:w="0" w:type="dxa"/>
            <w:right w:w="108" w:type="dxa"/>
          </w:tblCellMar>
        </w:tblPrEx>
        <w:trPr>
          <w:trHeight w:val="694" w:hRule="atLeast"/>
        </w:trPr>
        <w:tc>
          <w:tcPr>
            <w:tcW w:w="4436" w:type="dxa"/>
            <w:tcBorders>
              <w:top w:val="single" w:color="auto" w:sz="4" w:space="0"/>
              <w:left w:val="single" w:color="auto" w:sz="4" w:space="0"/>
              <w:bottom w:val="single" w:color="auto" w:sz="4" w:space="0"/>
              <w:right w:val="single" w:color="auto" w:sz="4" w:space="0"/>
            </w:tcBorders>
            <w:vAlign w:val="center"/>
          </w:tcPr>
          <w:p w14:paraId="3CBD49CB">
            <w:pPr>
              <w:pageBreakBefore w:val="0"/>
              <w:widowControl/>
              <w:kinsoku/>
              <w:wordWrap/>
              <w:overflowPunct/>
              <w:topLinePunct w:val="0"/>
              <w:bidi w:val="0"/>
              <w:snapToGrid/>
              <w:spacing w:line="560" w:lineRule="exact"/>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经 办 人：</w:t>
            </w:r>
          </w:p>
        </w:tc>
        <w:tc>
          <w:tcPr>
            <w:tcW w:w="4445" w:type="dxa"/>
            <w:tcBorders>
              <w:top w:val="single" w:color="auto" w:sz="4" w:space="0"/>
              <w:left w:val="single" w:color="auto" w:sz="4" w:space="0"/>
              <w:bottom w:val="single" w:color="auto" w:sz="4" w:space="0"/>
              <w:right w:val="single" w:color="auto" w:sz="4" w:space="0"/>
            </w:tcBorders>
            <w:vAlign w:val="center"/>
          </w:tcPr>
          <w:p w14:paraId="0A8C561B">
            <w:pPr>
              <w:pageBreakBefore w:val="0"/>
              <w:widowControl/>
              <w:kinsoku/>
              <w:wordWrap/>
              <w:overflowPunct/>
              <w:topLinePunct w:val="0"/>
              <w:bidi w:val="0"/>
              <w:snapToGrid/>
              <w:spacing w:line="560" w:lineRule="exact"/>
              <w:textAlignment w:val="auto"/>
              <w:rPr>
                <w:rFonts w:asciiTheme="majorEastAsia" w:hAnsiTheme="majorEastAsia" w:eastAsiaTheme="majorEastAsia" w:cstheme="majorEastAsia"/>
                <w:b/>
                <w:sz w:val="28"/>
                <w:szCs w:val="28"/>
              </w:rPr>
            </w:pPr>
            <w:r>
              <w:rPr>
                <w:rFonts w:hint="eastAsia" w:asciiTheme="majorEastAsia" w:hAnsiTheme="majorEastAsia" w:eastAsiaTheme="majorEastAsia" w:cstheme="majorEastAsia"/>
                <w:sz w:val="28"/>
                <w:szCs w:val="28"/>
              </w:rPr>
              <w:t xml:space="preserve">经 办 人： </w:t>
            </w:r>
          </w:p>
        </w:tc>
      </w:tr>
      <w:tr w14:paraId="26D21AC9">
        <w:tblPrEx>
          <w:tblCellMar>
            <w:top w:w="0" w:type="dxa"/>
            <w:left w:w="108" w:type="dxa"/>
            <w:bottom w:w="0" w:type="dxa"/>
            <w:right w:w="108" w:type="dxa"/>
          </w:tblCellMar>
        </w:tblPrEx>
        <w:trPr>
          <w:trHeight w:val="737" w:hRule="atLeast"/>
        </w:trPr>
        <w:tc>
          <w:tcPr>
            <w:tcW w:w="4436" w:type="dxa"/>
            <w:tcBorders>
              <w:top w:val="single" w:color="auto" w:sz="4" w:space="0"/>
              <w:left w:val="single" w:color="auto" w:sz="4" w:space="0"/>
              <w:bottom w:val="single" w:color="auto" w:sz="4" w:space="0"/>
              <w:right w:val="single" w:color="auto" w:sz="4" w:space="0"/>
            </w:tcBorders>
            <w:vAlign w:val="center"/>
          </w:tcPr>
          <w:p w14:paraId="5D2C89DC">
            <w:pPr>
              <w:pageBreakBefore w:val="0"/>
              <w:widowControl/>
              <w:kinsoku/>
              <w:wordWrap/>
              <w:overflowPunct/>
              <w:topLinePunct w:val="0"/>
              <w:bidi w:val="0"/>
              <w:snapToGrid/>
              <w:spacing w:line="560" w:lineRule="exact"/>
              <w:ind w:left="1120" w:hanging="1120" w:hangingChars="400"/>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手机号码：</w:t>
            </w:r>
          </w:p>
        </w:tc>
        <w:tc>
          <w:tcPr>
            <w:tcW w:w="4445" w:type="dxa"/>
            <w:tcBorders>
              <w:top w:val="single" w:color="auto" w:sz="4" w:space="0"/>
              <w:left w:val="single" w:color="auto" w:sz="4" w:space="0"/>
              <w:bottom w:val="single" w:color="auto" w:sz="4" w:space="0"/>
              <w:right w:val="single" w:color="auto" w:sz="4" w:space="0"/>
            </w:tcBorders>
            <w:vAlign w:val="center"/>
          </w:tcPr>
          <w:p w14:paraId="3E841F01">
            <w:pPr>
              <w:pageBreakBefore w:val="0"/>
              <w:widowControl/>
              <w:kinsoku/>
              <w:wordWrap/>
              <w:overflowPunct/>
              <w:topLinePunct w:val="0"/>
              <w:bidi w:val="0"/>
              <w:snapToGrid/>
              <w:spacing w:line="560" w:lineRule="exact"/>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手机号码：</w:t>
            </w:r>
          </w:p>
        </w:tc>
      </w:tr>
      <w:tr w14:paraId="5A0D8C69">
        <w:tblPrEx>
          <w:tblCellMar>
            <w:top w:w="0" w:type="dxa"/>
            <w:left w:w="108" w:type="dxa"/>
            <w:bottom w:w="0" w:type="dxa"/>
            <w:right w:w="108" w:type="dxa"/>
          </w:tblCellMar>
        </w:tblPrEx>
        <w:trPr>
          <w:trHeight w:val="787" w:hRule="atLeast"/>
        </w:trPr>
        <w:tc>
          <w:tcPr>
            <w:tcW w:w="4436" w:type="dxa"/>
            <w:tcBorders>
              <w:top w:val="single" w:color="auto" w:sz="4" w:space="0"/>
              <w:left w:val="single" w:color="auto" w:sz="4" w:space="0"/>
              <w:bottom w:val="single" w:color="auto" w:sz="4" w:space="0"/>
              <w:right w:val="single" w:color="auto" w:sz="4" w:space="0"/>
            </w:tcBorders>
            <w:vAlign w:val="center"/>
          </w:tcPr>
          <w:p w14:paraId="55C733FA">
            <w:pPr>
              <w:pageBreakBefore w:val="0"/>
              <w:widowControl/>
              <w:kinsoku/>
              <w:wordWrap/>
              <w:overflowPunct/>
              <w:topLinePunct w:val="0"/>
              <w:bidi w:val="0"/>
              <w:snapToGrid/>
              <w:spacing w:line="560" w:lineRule="exact"/>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联系电话：</w:t>
            </w:r>
          </w:p>
        </w:tc>
        <w:tc>
          <w:tcPr>
            <w:tcW w:w="4445" w:type="dxa"/>
            <w:tcBorders>
              <w:top w:val="single" w:color="auto" w:sz="4" w:space="0"/>
              <w:left w:val="single" w:color="auto" w:sz="4" w:space="0"/>
              <w:bottom w:val="single" w:color="auto" w:sz="4" w:space="0"/>
              <w:right w:val="single" w:color="auto" w:sz="4" w:space="0"/>
            </w:tcBorders>
            <w:vAlign w:val="center"/>
          </w:tcPr>
          <w:p w14:paraId="46E32448">
            <w:pPr>
              <w:pageBreakBefore w:val="0"/>
              <w:widowControl/>
              <w:kinsoku/>
              <w:wordWrap/>
              <w:overflowPunct/>
              <w:topLinePunct w:val="0"/>
              <w:bidi w:val="0"/>
              <w:snapToGrid/>
              <w:spacing w:line="560" w:lineRule="exact"/>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联系电话：</w:t>
            </w:r>
          </w:p>
        </w:tc>
      </w:tr>
      <w:tr w14:paraId="04E8C868">
        <w:tblPrEx>
          <w:tblCellMar>
            <w:top w:w="0" w:type="dxa"/>
            <w:left w:w="108" w:type="dxa"/>
            <w:bottom w:w="0" w:type="dxa"/>
            <w:right w:w="108" w:type="dxa"/>
          </w:tblCellMar>
        </w:tblPrEx>
        <w:trPr>
          <w:trHeight w:val="677" w:hRule="atLeast"/>
        </w:trPr>
        <w:tc>
          <w:tcPr>
            <w:tcW w:w="4436" w:type="dxa"/>
            <w:tcBorders>
              <w:top w:val="single" w:color="auto" w:sz="4" w:space="0"/>
              <w:left w:val="single" w:color="auto" w:sz="4" w:space="0"/>
              <w:bottom w:val="single" w:color="auto" w:sz="4" w:space="0"/>
              <w:right w:val="single" w:color="auto" w:sz="4" w:space="0"/>
            </w:tcBorders>
            <w:vAlign w:val="center"/>
          </w:tcPr>
          <w:p w14:paraId="14C58082">
            <w:pPr>
              <w:pageBreakBefore w:val="0"/>
              <w:widowControl/>
              <w:kinsoku/>
              <w:wordWrap/>
              <w:overflowPunct/>
              <w:topLinePunct w:val="0"/>
              <w:bidi w:val="0"/>
              <w:snapToGrid/>
              <w:spacing w:line="560" w:lineRule="exact"/>
              <w:ind w:left="1120" w:hanging="1120" w:hangingChars="400"/>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地    址：</w:t>
            </w:r>
          </w:p>
        </w:tc>
        <w:tc>
          <w:tcPr>
            <w:tcW w:w="4445" w:type="dxa"/>
            <w:tcBorders>
              <w:top w:val="single" w:color="auto" w:sz="4" w:space="0"/>
              <w:left w:val="single" w:color="auto" w:sz="4" w:space="0"/>
              <w:bottom w:val="single" w:color="auto" w:sz="4" w:space="0"/>
              <w:right w:val="single" w:color="auto" w:sz="4" w:space="0"/>
            </w:tcBorders>
            <w:vAlign w:val="center"/>
          </w:tcPr>
          <w:p w14:paraId="14E140C4">
            <w:pPr>
              <w:pageBreakBefore w:val="0"/>
              <w:widowControl/>
              <w:kinsoku/>
              <w:wordWrap/>
              <w:overflowPunct/>
              <w:topLinePunct w:val="0"/>
              <w:bidi w:val="0"/>
              <w:snapToGrid/>
              <w:spacing w:line="560" w:lineRule="exact"/>
              <w:ind w:left="1120" w:hanging="1120" w:hangingChars="400"/>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地    址：</w:t>
            </w:r>
          </w:p>
        </w:tc>
      </w:tr>
      <w:tr w14:paraId="2E20C0A2">
        <w:tblPrEx>
          <w:tblCellMar>
            <w:top w:w="0" w:type="dxa"/>
            <w:left w:w="108" w:type="dxa"/>
            <w:bottom w:w="0" w:type="dxa"/>
            <w:right w:w="108" w:type="dxa"/>
          </w:tblCellMar>
        </w:tblPrEx>
        <w:trPr>
          <w:trHeight w:val="692" w:hRule="atLeast"/>
        </w:trPr>
        <w:tc>
          <w:tcPr>
            <w:tcW w:w="4436" w:type="dxa"/>
            <w:tcBorders>
              <w:top w:val="single" w:color="auto" w:sz="4" w:space="0"/>
              <w:left w:val="single" w:color="auto" w:sz="4" w:space="0"/>
              <w:bottom w:val="single" w:color="auto" w:sz="4" w:space="0"/>
              <w:right w:val="single" w:color="auto" w:sz="4" w:space="0"/>
            </w:tcBorders>
            <w:vAlign w:val="center"/>
          </w:tcPr>
          <w:p w14:paraId="5794EA9F">
            <w:pPr>
              <w:pageBreakBefore w:val="0"/>
              <w:kinsoku/>
              <w:wordWrap/>
              <w:overflowPunct/>
              <w:topLinePunct w:val="0"/>
              <w:bidi w:val="0"/>
              <w:snapToGrid/>
              <w:spacing w:line="560" w:lineRule="exact"/>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开户名称：</w:t>
            </w:r>
          </w:p>
        </w:tc>
        <w:tc>
          <w:tcPr>
            <w:tcW w:w="4445" w:type="dxa"/>
            <w:tcBorders>
              <w:top w:val="single" w:color="auto" w:sz="4" w:space="0"/>
              <w:left w:val="single" w:color="auto" w:sz="4" w:space="0"/>
              <w:bottom w:val="single" w:color="auto" w:sz="4" w:space="0"/>
              <w:right w:val="single" w:color="auto" w:sz="4" w:space="0"/>
            </w:tcBorders>
            <w:vAlign w:val="center"/>
          </w:tcPr>
          <w:p w14:paraId="12DA6F3D">
            <w:pPr>
              <w:pageBreakBefore w:val="0"/>
              <w:widowControl/>
              <w:kinsoku/>
              <w:wordWrap/>
              <w:overflowPunct/>
              <w:topLinePunct w:val="0"/>
              <w:bidi w:val="0"/>
              <w:snapToGrid/>
              <w:spacing w:line="560" w:lineRule="exact"/>
              <w:ind w:left="1400" w:hanging="1400" w:hangingChars="500"/>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开户名称：</w:t>
            </w:r>
          </w:p>
        </w:tc>
      </w:tr>
      <w:tr w14:paraId="593F069B">
        <w:tblPrEx>
          <w:tblCellMar>
            <w:top w:w="0" w:type="dxa"/>
            <w:left w:w="108" w:type="dxa"/>
            <w:bottom w:w="0" w:type="dxa"/>
            <w:right w:w="108" w:type="dxa"/>
          </w:tblCellMar>
        </w:tblPrEx>
        <w:trPr>
          <w:trHeight w:val="737" w:hRule="atLeast"/>
        </w:trPr>
        <w:tc>
          <w:tcPr>
            <w:tcW w:w="4436" w:type="dxa"/>
            <w:tcBorders>
              <w:top w:val="single" w:color="auto" w:sz="4" w:space="0"/>
              <w:left w:val="single" w:color="auto" w:sz="4" w:space="0"/>
              <w:bottom w:val="single" w:color="auto" w:sz="4" w:space="0"/>
              <w:right w:val="single" w:color="auto" w:sz="4" w:space="0"/>
            </w:tcBorders>
            <w:vAlign w:val="center"/>
          </w:tcPr>
          <w:p w14:paraId="470B3AA9">
            <w:pPr>
              <w:pageBreakBefore w:val="0"/>
              <w:widowControl/>
              <w:kinsoku/>
              <w:wordWrap/>
              <w:overflowPunct/>
              <w:topLinePunct w:val="0"/>
              <w:bidi w:val="0"/>
              <w:snapToGrid/>
              <w:spacing w:line="560" w:lineRule="exact"/>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开户银行：</w:t>
            </w:r>
          </w:p>
        </w:tc>
        <w:tc>
          <w:tcPr>
            <w:tcW w:w="4445" w:type="dxa"/>
            <w:tcBorders>
              <w:top w:val="single" w:color="auto" w:sz="4" w:space="0"/>
              <w:left w:val="single" w:color="auto" w:sz="4" w:space="0"/>
              <w:bottom w:val="single" w:color="auto" w:sz="4" w:space="0"/>
              <w:right w:val="single" w:color="auto" w:sz="4" w:space="0"/>
            </w:tcBorders>
            <w:vAlign w:val="center"/>
          </w:tcPr>
          <w:p w14:paraId="797E6A50">
            <w:pPr>
              <w:pageBreakBefore w:val="0"/>
              <w:kinsoku/>
              <w:wordWrap/>
              <w:overflowPunct/>
              <w:topLinePunct w:val="0"/>
              <w:bidi w:val="0"/>
              <w:snapToGrid/>
              <w:spacing w:line="560" w:lineRule="exact"/>
              <w:ind w:right="-192"/>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开户银行： </w:t>
            </w:r>
          </w:p>
        </w:tc>
      </w:tr>
      <w:tr w14:paraId="1C70DC48">
        <w:tblPrEx>
          <w:tblCellMar>
            <w:top w:w="0" w:type="dxa"/>
            <w:left w:w="108" w:type="dxa"/>
            <w:bottom w:w="0" w:type="dxa"/>
            <w:right w:w="108" w:type="dxa"/>
          </w:tblCellMar>
        </w:tblPrEx>
        <w:trPr>
          <w:trHeight w:val="737" w:hRule="atLeast"/>
        </w:trPr>
        <w:tc>
          <w:tcPr>
            <w:tcW w:w="4436" w:type="dxa"/>
            <w:tcBorders>
              <w:top w:val="single" w:color="auto" w:sz="4" w:space="0"/>
              <w:left w:val="single" w:color="auto" w:sz="4" w:space="0"/>
              <w:bottom w:val="single" w:color="auto" w:sz="4" w:space="0"/>
              <w:right w:val="single" w:color="auto" w:sz="4" w:space="0"/>
            </w:tcBorders>
            <w:vAlign w:val="center"/>
          </w:tcPr>
          <w:p w14:paraId="396C025D">
            <w:pPr>
              <w:pageBreakBefore w:val="0"/>
              <w:widowControl/>
              <w:kinsoku/>
              <w:wordWrap/>
              <w:overflowPunct/>
              <w:topLinePunct w:val="0"/>
              <w:bidi w:val="0"/>
              <w:snapToGrid/>
              <w:spacing w:line="560" w:lineRule="exact"/>
              <w:ind w:left="1400" w:hanging="1400" w:hangingChars="500"/>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账    号：</w:t>
            </w:r>
          </w:p>
        </w:tc>
        <w:tc>
          <w:tcPr>
            <w:tcW w:w="4445" w:type="dxa"/>
            <w:tcBorders>
              <w:top w:val="single" w:color="auto" w:sz="4" w:space="0"/>
              <w:left w:val="single" w:color="auto" w:sz="4" w:space="0"/>
              <w:bottom w:val="single" w:color="auto" w:sz="4" w:space="0"/>
              <w:right w:val="single" w:color="auto" w:sz="4" w:space="0"/>
            </w:tcBorders>
            <w:vAlign w:val="center"/>
          </w:tcPr>
          <w:p w14:paraId="723BE0B7">
            <w:pPr>
              <w:pageBreakBefore w:val="0"/>
              <w:widowControl/>
              <w:kinsoku/>
              <w:wordWrap/>
              <w:overflowPunct/>
              <w:topLinePunct w:val="0"/>
              <w:bidi w:val="0"/>
              <w:snapToGrid/>
              <w:spacing w:line="560" w:lineRule="exact"/>
              <w:ind w:left="1400" w:hanging="1400" w:hangingChars="500"/>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账    号：</w:t>
            </w:r>
          </w:p>
        </w:tc>
      </w:tr>
      <w:tr w14:paraId="34BE8920">
        <w:tblPrEx>
          <w:tblCellMar>
            <w:top w:w="0" w:type="dxa"/>
            <w:left w:w="108" w:type="dxa"/>
            <w:bottom w:w="0" w:type="dxa"/>
            <w:right w:w="108" w:type="dxa"/>
          </w:tblCellMar>
        </w:tblPrEx>
        <w:trPr>
          <w:trHeight w:val="557" w:hRule="atLeast"/>
        </w:trPr>
        <w:tc>
          <w:tcPr>
            <w:tcW w:w="8881" w:type="dxa"/>
            <w:gridSpan w:val="2"/>
            <w:tcBorders>
              <w:top w:val="single" w:color="auto" w:sz="4" w:space="0"/>
              <w:left w:val="single" w:color="auto" w:sz="4" w:space="0"/>
              <w:bottom w:val="single" w:color="auto" w:sz="4" w:space="0"/>
              <w:right w:val="single" w:color="auto" w:sz="4" w:space="0"/>
            </w:tcBorders>
            <w:vAlign w:val="center"/>
          </w:tcPr>
          <w:p w14:paraId="57C339B8">
            <w:pPr>
              <w:pageBreakBefore w:val="0"/>
              <w:widowControl/>
              <w:kinsoku/>
              <w:wordWrap/>
              <w:overflowPunct/>
              <w:topLinePunct w:val="0"/>
              <w:bidi w:val="0"/>
              <w:snapToGrid/>
              <w:spacing w:line="560" w:lineRule="exact"/>
              <w:ind w:firstLine="2520" w:firstLineChars="900"/>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日    期： 年  月   日</w:t>
            </w:r>
          </w:p>
        </w:tc>
      </w:tr>
    </w:tbl>
    <w:p w14:paraId="779F8696">
      <w:pPr>
        <w:pStyle w:val="12"/>
        <w:pageBreakBefore w:val="0"/>
        <w:kinsoku/>
        <w:wordWrap/>
        <w:overflowPunct/>
        <w:topLinePunct w:val="0"/>
        <w:bidi w:val="0"/>
        <w:snapToGrid/>
        <w:spacing w:line="560" w:lineRule="exact"/>
        <w:jc w:val="both"/>
        <w:textAlignment w:val="auto"/>
        <w:rPr>
          <w:rFonts w:hint="eastAsia" w:ascii="宋体" w:hAnsi="宋体"/>
          <w:bCs/>
          <w:color w:val="auto"/>
          <w:kern w:val="44"/>
          <w:sz w:val="32"/>
          <w:szCs w:val="32"/>
          <w:highlight w:val="none"/>
        </w:rPr>
      </w:pPr>
    </w:p>
    <w:p w14:paraId="2023352F">
      <w:pPr>
        <w:pStyle w:val="12"/>
        <w:pageBreakBefore w:val="0"/>
        <w:kinsoku/>
        <w:wordWrap/>
        <w:overflowPunct/>
        <w:topLinePunct w:val="0"/>
        <w:bidi w:val="0"/>
        <w:snapToGrid/>
        <w:spacing w:line="560" w:lineRule="exact"/>
        <w:jc w:val="center"/>
        <w:textAlignment w:val="auto"/>
        <w:rPr>
          <w:rFonts w:hint="eastAsia" w:ascii="宋体" w:hAnsi="宋体"/>
          <w:bCs/>
          <w:color w:val="auto"/>
          <w:kern w:val="44"/>
          <w:sz w:val="32"/>
          <w:szCs w:val="32"/>
          <w:highlight w:val="none"/>
        </w:rPr>
      </w:pPr>
    </w:p>
    <w:p w14:paraId="4222907F">
      <w:pPr>
        <w:pStyle w:val="12"/>
        <w:pageBreakBefore w:val="0"/>
        <w:kinsoku/>
        <w:wordWrap/>
        <w:overflowPunct/>
        <w:topLinePunct w:val="0"/>
        <w:bidi w:val="0"/>
        <w:snapToGrid/>
        <w:spacing w:line="560" w:lineRule="exact"/>
        <w:jc w:val="center"/>
        <w:textAlignment w:val="auto"/>
        <w:rPr>
          <w:rFonts w:hint="eastAsia" w:ascii="宋体" w:hAnsi="宋体"/>
          <w:bCs/>
          <w:color w:val="auto"/>
          <w:kern w:val="44"/>
          <w:sz w:val="32"/>
          <w:szCs w:val="32"/>
          <w:highlight w:val="none"/>
        </w:rPr>
      </w:pPr>
    </w:p>
    <w:p w14:paraId="67EB32E6">
      <w:pPr>
        <w:pStyle w:val="12"/>
        <w:pageBreakBefore w:val="0"/>
        <w:kinsoku/>
        <w:wordWrap/>
        <w:overflowPunct/>
        <w:topLinePunct w:val="0"/>
        <w:bidi w:val="0"/>
        <w:snapToGrid/>
        <w:spacing w:line="560" w:lineRule="exact"/>
        <w:jc w:val="center"/>
        <w:textAlignment w:val="auto"/>
        <w:rPr>
          <w:rFonts w:hint="eastAsia" w:ascii="宋体" w:hAnsi="宋体"/>
          <w:bCs/>
          <w:color w:val="auto"/>
          <w:kern w:val="44"/>
          <w:sz w:val="32"/>
          <w:szCs w:val="32"/>
          <w:highlight w:val="none"/>
        </w:rPr>
      </w:pPr>
    </w:p>
    <w:p w14:paraId="5A600FB5">
      <w:pPr>
        <w:pStyle w:val="12"/>
        <w:pageBreakBefore w:val="0"/>
        <w:kinsoku/>
        <w:wordWrap/>
        <w:overflowPunct/>
        <w:topLinePunct w:val="0"/>
        <w:bidi w:val="0"/>
        <w:snapToGrid/>
        <w:spacing w:line="560" w:lineRule="exact"/>
        <w:jc w:val="center"/>
        <w:textAlignment w:val="auto"/>
        <w:rPr>
          <w:rFonts w:hint="eastAsia" w:ascii="宋体" w:hAnsi="宋体"/>
          <w:bCs/>
          <w:color w:val="auto"/>
          <w:kern w:val="44"/>
          <w:sz w:val="32"/>
          <w:szCs w:val="32"/>
          <w:highlight w:val="none"/>
        </w:rPr>
      </w:pPr>
    </w:p>
    <w:p w14:paraId="0530DAB4">
      <w:pPr>
        <w:pStyle w:val="12"/>
        <w:pageBreakBefore w:val="0"/>
        <w:kinsoku/>
        <w:wordWrap/>
        <w:overflowPunct/>
        <w:topLinePunct w:val="0"/>
        <w:bidi w:val="0"/>
        <w:snapToGrid/>
        <w:spacing w:line="560" w:lineRule="exact"/>
        <w:jc w:val="center"/>
        <w:textAlignment w:val="auto"/>
        <w:rPr>
          <w:rFonts w:hint="eastAsia" w:ascii="宋体" w:hAnsi="宋体"/>
          <w:bCs/>
          <w:color w:val="auto"/>
          <w:kern w:val="44"/>
          <w:sz w:val="32"/>
          <w:szCs w:val="32"/>
          <w:highlight w:val="none"/>
        </w:rPr>
      </w:pPr>
    </w:p>
    <w:p w14:paraId="7511961A">
      <w:pPr>
        <w:pStyle w:val="12"/>
        <w:pageBreakBefore w:val="0"/>
        <w:kinsoku/>
        <w:wordWrap/>
        <w:overflowPunct/>
        <w:topLinePunct w:val="0"/>
        <w:bidi w:val="0"/>
        <w:snapToGrid/>
        <w:spacing w:line="560" w:lineRule="exact"/>
        <w:jc w:val="center"/>
        <w:textAlignment w:val="auto"/>
        <w:rPr>
          <w:rFonts w:hint="eastAsia" w:ascii="宋体" w:hAnsi="宋体"/>
          <w:bCs/>
          <w:color w:val="auto"/>
          <w:kern w:val="44"/>
          <w:sz w:val="32"/>
          <w:szCs w:val="32"/>
          <w:highlight w:val="none"/>
        </w:rPr>
      </w:pPr>
    </w:p>
    <w:p w14:paraId="00A59491">
      <w:pPr>
        <w:pStyle w:val="12"/>
        <w:pageBreakBefore w:val="0"/>
        <w:kinsoku/>
        <w:wordWrap/>
        <w:overflowPunct/>
        <w:topLinePunct w:val="0"/>
        <w:bidi w:val="0"/>
        <w:snapToGrid/>
        <w:spacing w:line="560" w:lineRule="exact"/>
        <w:jc w:val="center"/>
        <w:textAlignment w:val="auto"/>
        <w:rPr>
          <w:rFonts w:hint="eastAsia" w:ascii="宋体" w:hAnsi="宋体"/>
          <w:bCs/>
          <w:color w:val="auto"/>
          <w:kern w:val="44"/>
          <w:sz w:val="32"/>
          <w:szCs w:val="32"/>
          <w:highlight w:val="none"/>
        </w:rPr>
      </w:pPr>
    </w:p>
    <w:p w14:paraId="0ABC4EE7">
      <w:pPr>
        <w:pStyle w:val="12"/>
        <w:pageBreakBefore w:val="0"/>
        <w:kinsoku/>
        <w:wordWrap/>
        <w:overflowPunct/>
        <w:topLinePunct w:val="0"/>
        <w:bidi w:val="0"/>
        <w:snapToGrid/>
        <w:spacing w:line="560" w:lineRule="exact"/>
        <w:jc w:val="center"/>
        <w:textAlignment w:val="auto"/>
        <w:rPr>
          <w:rFonts w:ascii="宋体" w:hAnsi="宋体"/>
          <w:bCs/>
          <w:color w:val="auto"/>
          <w:kern w:val="44"/>
          <w:sz w:val="52"/>
          <w:szCs w:val="52"/>
          <w:highlight w:val="none"/>
        </w:rPr>
      </w:pPr>
      <w:r>
        <w:rPr>
          <w:rFonts w:hint="eastAsia" w:ascii="宋体" w:hAnsi="宋体"/>
          <w:bCs/>
          <w:color w:val="auto"/>
          <w:kern w:val="44"/>
          <w:sz w:val="52"/>
          <w:szCs w:val="52"/>
          <w:highlight w:val="none"/>
        </w:rPr>
        <w:t>廉政合同</w:t>
      </w:r>
    </w:p>
    <w:p w14:paraId="193CA1D1">
      <w:pPr>
        <w:pageBreakBefore w:val="0"/>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p>
    <w:p w14:paraId="63BD4D0F">
      <w:pPr>
        <w:pageBreakBefore w:val="0"/>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根据有关工程建设、廉政建设的规定，为做好工程建设中的党风廉政建设，保证工程建设高效优质，保证建设资金的安全和有效使用以及投资效益，</w:t>
      </w:r>
      <w:r>
        <w:rPr>
          <w:rFonts w:hint="eastAsia" w:ascii="宋体" w:hAnsi="宋体" w:eastAsia="宋体" w:cs="宋体"/>
          <w:color w:val="auto"/>
          <w:sz w:val="28"/>
          <w:szCs w:val="28"/>
          <w:highlight w:val="none"/>
          <w:u w:val="single"/>
        </w:rPr>
        <w:t>河池市城乡建设投资集团有限公司</w:t>
      </w:r>
      <w:r>
        <w:rPr>
          <w:rFonts w:hint="eastAsia" w:ascii="宋体" w:hAnsi="宋体" w:eastAsia="宋体" w:cs="宋体"/>
          <w:color w:val="auto"/>
          <w:sz w:val="28"/>
          <w:szCs w:val="28"/>
          <w:highlight w:val="none"/>
        </w:rPr>
        <w:t>（以下简称:发包人）为一方与另一方</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rPr>
        <w:t>（以下称承包人），特订立如下合同。</w:t>
      </w:r>
    </w:p>
    <w:p w14:paraId="3726B2C9">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1.双方的权利和义务</w:t>
      </w:r>
    </w:p>
    <w:p w14:paraId="62EA5494">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（1）严格遵守党和国家有关法律法规及住房和城乡建设部部的有关规定。</w:t>
      </w:r>
    </w:p>
    <w:p w14:paraId="3509BEE8">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（2）严格执行</w:t>
      </w:r>
      <w:r>
        <w:rPr>
          <w:rFonts w:hint="eastAsia" w:ascii="宋体" w:hAnsi="宋体" w:eastAsia="宋体" w:cs="宋体"/>
          <w:color w:val="auto"/>
          <w:spacing w:val="-3"/>
          <w:sz w:val="28"/>
          <w:szCs w:val="28"/>
          <w:highlight w:val="none"/>
          <w:u w:val="single"/>
        </w:rPr>
        <w:t>河池市金城江城区排水防涝管网工程</w:t>
      </w:r>
      <w:r>
        <w:rPr>
          <w:rFonts w:hint="eastAsia" w:ascii="宋体" w:hAnsi="宋体" w:eastAsia="宋体" w:cs="宋体"/>
          <w:color w:val="auto"/>
          <w:sz w:val="28"/>
          <w:szCs w:val="28"/>
          <w:highlight w:val="none"/>
        </w:rPr>
        <w:t>合同文件，自觉按合同办事。</w:t>
      </w:r>
    </w:p>
    <w:p w14:paraId="1E3F730E">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（3）双方的业务活动坚持公开、公正、诚信、透明的原则（除法律认定的商业秘密和合同文件另有规定之外），不得损害国家和集体利益，违反工程建设管理规章制度。</w:t>
      </w:r>
    </w:p>
    <w:p w14:paraId="32208990">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（4）建立健全廉政制度，开展廉政教育，设立廉政告示牌，公布举报电话，监督并认真查处违法违纪行为。</w:t>
      </w:r>
    </w:p>
    <w:p w14:paraId="68639AAD">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（5）发现对方在业务活动中有违反廉政规定的行为，有及时提醒对方纠正的权利和义务。</w:t>
      </w:r>
    </w:p>
    <w:p w14:paraId="2A9722B5">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（6）发现对方严重违反本合同义务条款的行为，有向其上级有关部门举报、建议给予处理并要求告知处理结果的权利。</w:t>
      </w:r>
    </w:p>
    <w:p w14:paraId="6E09C4F9">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2.发包人的义务</w:t>
      </w:r>
    </w:p>
    <w:p w14:paraId="19D8D000">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（1）发包人及其工作人员不得索要或接受承包人的礼金、有价证券和贵重物品，不得让承包人报销任何应由业主或个人支付的费用等。</w:t>
      </w:r>
    </w:p>
    <w:p w14:paraId="07A09809">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（2）发包人工作人员不得参加承包人安排的超标准宴请和娱乐活动；不得接受承包人提供的通讯工具、交通工具和高档办公用品等。</w:t>
      </w:r>
    </w:p>
    <w:p w14:paraId="5BE6DEB7">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（3）发包人及其工作人员不得要求或者接受承包人为其住房装修、婚丧嫁娶活动、配偶子女的工作安排以及出国出境、旅游等提供方便等。</w:t>
      </w:r>
    </w:p>
    <w:p w14:paraId="2DCDED99">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3.承包人义务</w:t>
      </w:r>
    </w:p>
    <w:p w14:paraId="7B39E933">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（1）承包人不得以任何理由向发包人及其工作人员行贿或馈赠礼金、有价证券、贵重礼品。</w:t>
      </w:r>
    </w:p>
    <w:p w14:paraId="20E3E01D">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（2）承包人不得以任何名义为发包人及其工作人员报销应由业主单位或个人支付的任何费用。</w:t>
      </w:r>
    </w:p>
    <w:p w14:paraId="077AB871">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（3）承包人不得以任何理由安排发包人工作人员参加超标准宴请及娱乐活动。</w:t>
      </w:r>
    </w:p>
    <w:p w14:paraId="1749A174">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（4）承包人不得为发包人单位和个人购置或提供通讯工具、交通工具和高档办公用品等。</w:t>
      </w:r>
    </w:p>
    <w:p w14:paraId="0007F660">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4.违约责任</w:t>
      </w:r>
    </w:p>
    <w:p w14:paraId="3DF2DA43">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（1）发包人及其工作人员违反本合同第一、二条，按管理权限，依据有关规定给予党纪、政纪处分或组织处理；涉嫌犯罪的，移交司法机关追究刑事责任；给</w:t>
      </w:r>
      <w:r>
        <w:rPr>
          <w:rFonts w:hint="eastAsia" w:ascii="宋体" w:hAnsi="宋体" w:eastAsia="宋体" w:cs="宋体"/>
          <w:color w:val="auto"/>
          <w:sz w:val="28"/>
          <w:szCs w:val="28"/>
          <w:highlight w:val="none"/>
          <w:lang w:eastAsia="zh-CN"/>
        </w:rPr>
        <w:t>承包</w:t>
      </w:r>
      <w:r>
        <w:rPr>
          <w:rFonts w:hint="eastAsia" w:ascii="宋体" w:hAnsi="宋体" w:eastAsia="宋体" w:cs="宋体"/>
          <w:color w:val="auto"/>
          <w:sz w:val="28"/>
          <w:szCs w:val="28"/>
          <w:highlight w:val="none"/>
        </w:rPr>
        <w:t>人单位造成经济损失的，应予以赔偿。</w:t>
      </w:r>
    </w:p>
    <w:p w14:paraId="3090AA2C">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承包人及其工作人员违反本合同第一、三条，按管理权限，依据有关规定给予党纪、政纪处分或组织处理；给发包人单位造成经济损失的，应予以赔偿；情节严重的，发包人建议住房和城乡建设部给予承包人一至三年内不得进入其主管的工程建设市场的处罚。</w:t>
      </w:r>
    </w:p>
    <w:p w14:paraId="69B61F50">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5.双方约定：本合同由双方或双方上级单位的纪检监察机关负责监督。由发包人或发包人上级单位的纪检监察机关约请</w:t>
      </w:r>
      <w:r>
        <w:rPr>
          <w:rFonts w:hint="eastAsia" w:ascii="宋体" w:hAnsi="宋体" w:eastAsia="宋体" w:cs="宋体"/>
          <w:color w:val="auto"/>
          <w:sz w:val="28"/>
          <w:szCs w:val="28"/>
          <w:highlight w:val="none"/>
          <w:lang w:eastAsia="zh-CN"/>
        </w:rPr>
        <w:t>承包人</w:t>
      </w:r>
      <w:r>
        <w:rPr>
          <w:rFonts w:hint="eastAsia" w:ascii="宋体" w:hAnsi="宋体" w:eastAsia="宋体" w:cs="宋体"/>
          <w:color w:val="auto"/>
          <w:sz w:val="28"/>
          <w:szCs w:val="28"/>
          <w:highlight w:val="none"/>
        </w:rPr>
        <w:t>或</w:t>
      </w:r>
      <w:r>
        <w:rPr>
          <w:rFonts w:hint="eastAsia" w:ascii="宋体" w:hAnsi="宋体" w:eastAsia="宋体" w:cs="宋体"/>
          <w:color w:val="auto"/>
          <w:sz w:val="28"/>
          <w:szCs w:val="28"/>
          <w:highlight w:val="none"/>
          <w:lang w:eastAsia="zh-CN"/>
        </w:rPr>
        <w:t>承包人</w:t>
      </w:r>
      <w:r>
        <w:rPr>
          <w:rFonts w:hint="eastAsia" w:ascii="宋体" w:hAnsi="宋体" w:eastAsia="宋体" w:cs="宋体"/>
          <w:color w:val="auto"/>
          <w:sz w:val="28"/>
          <w:szCs w:val="28"/>
          <w:highlight w:val="none"/>
        </w:rPr>
        <w:t>上级单位纪检监察机关对本合同履行情况进行检查，提出在本合同规定范围内的裁定意见。</w:t>
      </w:r>
    </w:p>
    <w:p w14:paraId="49FB01E0">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6.本合同有效期限为双方签署之日起至</w:t>
      </w:r>
      <w:r>
        <w:rPr>
          <w:rFonts w:hint="eastAsia" w:ascii="宋体" w:hAnsi="宋体" w:eastAsia="宋体" w:cs="宋体"/>
          <w:color w:val="auto"/>
          <w:sz w:val="28"/>
          <w:szCs w:val="28"/>
          <w:highlight w:val="none"/>
          <w:lang w:val="en-US" w:eastAsia="zh-CN"/>
        </w:rPr>
        <w:t>工程总承包</w:t>
      </w:r>
      <w:r>
        <w:rPr>
          <w:rFonts w:hint="eastAsia" w:ascii="宋体" w:hAnsi="宋体" w:eastAsia="宋体" w:cs="宋体"/>
          <w:color w:val="auto"/>
          <w:sz w:val="28"/>
          <w:szCs w:val="28"/>
          <w:highlight w:val="none"/>
        </w:rPr>
        <w:t>合同失效日止。</w:t>
      </w:r>
    </w:p>
    <w:p w14:paraId="0C1E3F05">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7.本合同作为</w:t>
      </w:r>
      <w:r>
        <w:rPr>
          <w:rFonts w:hint="eastAsia" w:ascii="宋体" w:hAnsi="宋体" w:eastAsia="宋体" w:cs="宋体"/>
          <w:color w:val="auto"/>
          <w:spacing w:val="-3"/>
          <w:sz w:val="28"/>
          <w:szCs w:val="28"/>
          <w:highlight w:val="none"/>
          <w:u w:val="single"/>
        </w:rPr>
        <w:t>河池市金城江城区排水防涝管网工程</w:t>
      </w:r>
      <w:r>
        <w:rPr>
          <w:rFonts w:hint="eastAsia" w:ascii="宋体" w:hAnsi="宋体" w:eastAsia="宋体" w:cs="宋体"/>
          <w:color w:val="auto"/>
          <w:sz w:val="28"/>
          <w:szCs w:val="28"/>
          <w:highlight w:val="none"/>
        </w:rPr>
        <w:t>项目合同的附件，与总承包合同具有同等的法律效力，经合同双方代表签字、加盖公章后生效。</w:t>
      </w:r>
    </w:p>
    <w:p w14:paraId="2EEF40EF">
      <w:pPr>
        <w:pStyle w:val="12"/>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8.本协议书一式6份，均具有同等法律效力，发包人执2份，</w:t>
      </w:r>
      <w:r>
        <w:rPr>
          <w:rFonts w:hint="eastAsia" w:ascii="宋体" w:hAnsi="宋体" w:eastAsia="宋体" w:cs="宋体"/>
          <w:color w:val="auto"/>
          <w:sz w:val="28"/>
          <w:szCs w:val="28"/>
          <w:highlight w:val="none"/>
          <w:lang w:eastAsia="zh-CN"/>
        </w:rPr>
        <w:t>承包人</w:t>
      </w:r>
      <w:r>
        <w:rPr>
          <w:rFonts w:hint="eastAsia" w:ascii="宋体" w:hAnsi="宋体" w:eastAsia="宋体" w:cs="宋体"/>
          <w:color w:val="auto"/>
          <w:sz w:val="28"/>
          <w:szCs w:val="28"/>
          <w:highlight w:val="none"/>
        </w:rPr>
        <w:t>执4份。</w:t>
      </w:r>
    </w:p>
    <w:tbl>
      <w:tblPr>
        <w:tblStyle w:val="10"/>
        <w:tblpPr w:leftFromText="180" w:rightFromText="180" w:vertAnchor="text" w:horzAnchor="page" w:tblpX="1695" w:tblpY="5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3"/>
        <w:gridCol w:w="4690"/>
      </w:tblGrid>
      <w:tr w14:paraId="1F188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3923" w:type="dxa"/>
            <w:tcBorders>
              <w:top w:val="nil"/>
              <w:left w:val="nil"/>
              <w:bottom w:val="nil"/>
              <w:right w:val="nil"/>
            </w:tcBorders>
            <w:noWrap/>
          </w:tcPr>
          <w:p w14:paraId="7D7BE068">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发包人：河池市城乡建设投资集团有限公司（公章）  </w:t>
            </w:r>
          </w:p>
        </w:tc>
        <w:tc>
          <w:tcPr>
            <w:tcW w:w="4690" w:type="dxa"/>
            <w:tcBorders>
              <w:top w:val="nil"/>
              <w:left w:val="nil"/>
              <w:bottom w:val="nil"/>
              <w:right w:val="nil"/>
            </w:tcBorders>
            <w:noWrap/>
          </w:tcPr>
          <w:p w14:paraId="6CD31E80">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承包人：（公章）</w:t>
            </w:r>
          </w:p>
          <w:p w14:paraId="2C2F1EB2">
            <w:pPr>
              <w:pStyle w:val="9"/>
              <w:pageBreakBefore w:val="0"/>
              <w:kinsoku/>
              <w:wordWrap/>
              <w:overflowPunct/>
              <w:topLinePunct w:val="0"/>
              <w:bidi w:val="0"/>
              <w:snapToGrid/>
              <w:spacing w:before="0" w:line="560" w:lineRule="exact"/>
              <w:ind w:firstLine="480"/>
              <w:textAlignment w:val="auto"/>
              <w:rPr>
                <w:rFonts w:hint="eastAsia" w:ascii="宋体" w:hAnsi="宋体" w:eastAsia="宋体" w:cs="宋体"/>
                <w:color w:val="auto"/>
                <w:sz w:val="28"/>
                <w:szCs w:val="28"/>
                <w:highlight w:val="none"/>
              </w:rPr>
            </w:pPr>
          </w:p>
        </w:tc>
      </w:tr>
      <w:tr w14:paraId="5DA48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trPr>
        <w:tc>
          <w:tcPr>
            <w:tcW w:w="3923" w:type="dxa"/>
            <w:tcBorders>
              <w:top w:val="nil"/>
              <w:left w:val="nil"/>
              <w:bottom w:val="nil"/>
              <w:right w:val="nil"/>
            </w:tcBorders>
            <w:noWrap/>
          </w:tcPr>
          <w:p w14:paraId="590829C2">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法定代表人或其委托代理人：</w:t>
            </w:r>
          </w:p>
          <w:p w14:paraId="53B756D8">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（签字</w:t>
            </w:r>
            <w:r>
              <w:rPr>
                <w:rFonts w:hint="eastAsia" w:ascii="宋体" w:hAnsi="宋体" w:eastAsia="宋体" w:cs="宋体"/>
                <w:color w:val="auto"/>
                <w:sz w:val="28"/>
                <w:szCs w:val="28"/>
                <w:highlight w:val="none"/>
                <w:lang w:val="en-US"/>
              </w:rPr>
              <w:t>或</w:t>
            </w:r>
            <w:r>
              <w:rPr>
                <w:rFonts w:hint="eastAsia" w:ascii="宋体" w:hAnsi="宋体" w:eastAsia="宋体" w:cs="宋体"/>
                <w:color w:val="auto"/>
                <w:sz w:val="28"/>
                <w:szCs w:val="28"/>
                <w:highlight w:val="none"/>
                <w:lang w:val="en-US" w:eastAsia="zh-CN"/>
              </w:rPr>
              <w:t>盖章</w:t>
            </w:r>
            <w:r>
              <w:rPr>
                <w:rFonts w:hint="eastAsia" w:ascii="宋体" w:hAnsi="宋体" w:eastAsia="宋体" w:cs="宋体"/>
                <w:color w:val="auto"/>
                <w:sz w:val="28"/>
                <w:szCs w:val="28"/>
                <w:highlight w:val="none"/>
              </w:rPr>
              <w:t>）</w:t>
            </w:r>
          </w:p>
        </w:tc>
        <w:tc>
          <w:tcPr>
            <w:tcW w:w="4690" w:type="dxa"/>
            <w:tcBorders>
              <w:top w:val="nil"/>
              <w:left w:val="nil"/>
              <w:bottom w:val="nil"/>
              <w:right w:val="nil"/>
            </w:tcBorders>
            <w:noWrap/>
          </w:tcPr>
          <w:p w14:paraId="0EC1737D">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法定代表人或其委托代理人：</w:t>
            </w:r>
          </w:p>
          <w:p w14:paraId="492E03C8">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（签字</w:t>
            </w:r>
            <w:r>
              <w:rPr>
                <w:rFonts w:hint="eastAsia" w:ascii="宋体" w:hAnsi="宋体" w:eastAsia="宋体" w:cs="宋体"/>
                <w:color w:val="auto"/>
                <w:sz w:val="28"/>
                <w:szCs w:val="28"/>
                <w:highlight w:val="none"/>
                <w:lang w:val="en-US"/>
              </w:rPr>
              <w:t>或</w:t>
            </w:r>
            <w:r>
              <w:rPr>
                <w:rFonts w:hint="eastAsia" w:ascii="宋体" w:hAnsi="宋体" w:eastAsia="宋体" w:cs="宋体"/>
                <w:color w:val="auto"/>
                <w:sz w:val="28"/>
                <w:szCs w:val="28"/>
                <w:highlight w:val="none"/>
                <w:lang w:val="en-US" w:eastAsia="zh-CN"/>
              </w:rPr>
              <w:t>盖章</w:t>
            </w:r>
            <w:r>
              <w:rPr>
                <w:rFonts w:hint="eastAsia" w:ascii="宋体" w:hAnsi="宋体" w:eastAsia="宋体" w:cs="宋体"/>
                <w:color w:val="auto"/>
                <w:sz w:val="28"/>
                <w:szCs w:val="28"/>
                <w:highlight w:val="none"/>
              </w:rPr>
              <w:t>）</w:t>
            </w:r>
          </w:p>
        </w:tc>
      </w:tr>
      <w:tr w14:paraId="5CF90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3923" w:type="dxa"/>
            <w:tcBorders>
              <w:top w:val="nil"/>
              <w:left w:val="nil"/>
              <w:bottom w:val="nil"/>
              <w:right w:val="nil"/>
            </w:tcBorders>
            <w:noWrap/>
            <w:vAlign w:val="center"/>
          </w:tcPr>
          <w:p w14:paraId="12329121">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统一社会信用代码：</w:t>
            </w:r>
          </w:p>
        </w:tc>
        <w:tc>
          <w:tcPr>
            <w:tcW w:w="4690" w:type="dxa"/>
            <w:tcBorders>
              <w:top w:val="nil"/>
              <w:left w:val="nil"/>
              <w:bottom w:val="nil"/>
              <w:right w:val="nil"/>
            </w:tcBorders>
            <w:noWrap/>
          </w:tcPr>
          <w:p w14:paraId="51393839">
            <w:pPr>
              <w:pageBreakBefore w:val="0"/>
              <w:kinsoku/>
              <w:wordWrap/>
              <w:overflowPunct/>
              <w:topLinePunct w:val="0"/>
              <w:bidi w:val="0"/>
              <w:snapToGrid/>
              <w:spacing w:line="56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统一社会信用代码：</w:t>
            </w:r>
          </w:p>
        </w:tc>
      </w:tr>
      <w:tr w14:paraId="2A19F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3923" w:type="dxa"/>
            <w:tcBorders>
              <w:top w:val="nil"/>
              <w:left w:val="nil"/>
              <w:bottom w:val="nil"/>
              <w:right w:val="nil"/>
            </w:tcBorders>
            <w:noWrap/>
            <w:vAlign w:val="center"/>
          </w:tcPr>
          <w:p w14:paraId="3D5F009B">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p>
        </w:tc>
        <w:tc>
          <w:tcPr>
            <w:tcW w:w="4690" w:type="dxa"/>
            <w:tcBorders>
              <w:top w:val="nil"/>
              <w:left w:val="nil"/>
              <w:bottom w:val="nil"/>
              <w:right w:val="nil"/>
            </w:tcBorders>
            <w:noWrap/>
            <w:vAlign w:val="center"/>
          </w:tcPr>
          <w:p w14:paraId="4E1447D4">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p>
        </w:tc>
      </w:tr>
      <w:tr w14:paraId="3F670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23" w:type="dxa"/>
            <w:tcBorders>
              <w:top w:val="nil"/>
              <w:left w:val="nil"/>
              <w:bottom w:val="nil"/>
              <w:right w:val="nil"/>
            </w:tcBorders>
            <w:noWrap/>
            <w:vAlign w:val="center"/>
          </w:tcPr>
          <w:p w14:paraId="1B2BDA8F">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rPr>
              <w:t>邮政编码：</w:t>
            </w:r>
            <w:r>
              <w:rPr>
                <w:rFonts w:hint="eastAsia" w:ascii="宋体" w:hAnsi="宋体" w:eastAsia="宋体" w:cs="宋体"/>
                <w:color w:val="auto"/>
                <w:sz w:val="28"/>
                <w:szCs w:val="28"/>
                <w:highlight w:val="none"/>
                <w:lang w:val="en-US"/>
              </w:rPr>
              <w:t>547000</w:t>
            </w:r>
          </w:p>
        </w:tc>
        <w:tc>
          <w:tcPr>
            <w:tcW w:w="4690" w:type="dxa"/>
            <w:tcBorders>
              <w:top w:val="nil"/>
              <w:left w:val="nil"/>
              <w:bottom w:val="nil"/>
              <w:right w:val="nil"/>
            </w:tcBorders>
            <w:noWrap/>
            <w:vAlign w:val="center"/>
          </w:tcPr>
          <w:p w14:paraId="5518A62F">
            <w:pPr>
              <w:pageBreakBefore w:val="0"/>
              <w:kinsoku/>
              <w:wordWrap/>
              <w:overflowPunct/>
              <w:topLinePunct w:val="0"/>
              <w:bidi w:val="0"/>
              <w:snapToGrid/>
              <w:spacing w:line="56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邮政编码：</w:t>
            </w:r>
          </w:p>
        </w:tc>
      </w:tr>
      <w:tr w14:paraId="704DE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3923" w:type="dxa"/>
            <w:tcBorders>
              <w:top w:val="nil"/>
              <w:left w:val="nil"/>
              <w:bottom w:val="nil"/>
              <w:right w:val="nil"/>
            </w:tcBorders>
            <w:noWrap/>
            <w:vAlign w:val="center"/>
          </w:tcPr>
          <w:p w14:paraId="33BE7A9E">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r>
              <w:rPr>
                <w:rFonts w:hint="eastAsia" w:ascii="宋体" w:hAnsi="宋体" w:eastAsia="宋体" w:cs="宋体"/>
                <w:color w:val="auto"/>
                <w:sz w:val="28"/>
                <w:szCs w:val="28"/>
                <w:highlight w:val="none"/>
                <w:lang w:val="en-US"/>
              </w:rPr>
              <w:t>0778-</w:t>
            </w:r>
            <w:r>
              <w:rPr>
                <w:rFonts w:hint="eastAsia" w:ascii="宋体" w:hAnsi="宋体" w:eastAsia="宋体" w:cs="宋体"/>
                <w:color w:val="auto"/>
                <w:sz w:val="28"/>
                <w:szCs w:val="28"/>
                <w:highlight w:val="none"/>
              </w:rPr>
              <w:t>2113599</w:t>
            </w:r>
          </w:p>
        </w:tc>
        <w:tc>
          <w:tcPr>
            <w:tcW w:w="4690" w:type="dxa"/>
            <w:tcBorders>
              <w:top w:val="nil"/>
              <w:left w:val="nil"/>
              <w:bottom w:val="nil"/>
              <w:right w:val="nil"/>
            </w:tcBorders>
            <w:noWrap/>
            <w:vAlign w:val="center"/>
          </w:tcPr>
          <w:p w14:paraId="4C1BC1EE">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r>
      <w:tr w14:paraId="13690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923" w:type="dxa"/>
            <w:tcBorders>
              <w:top w:val="nil"/>
              <w:left w:val="nil"/>
              <w:bottom w:val="nil"/>
              <w:right w:val="nil"/>
            </w:tcBorders>
            <w:noWrap/>
            <w:vAlign w:val="center"/>
          </w:tcPr>
          <w:p w14:paraId="77DFB55F">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rPr>
              <w:t>传  真：</w:t>
            </w:r>
            <w:r>
              <w:rPr>
                <w:rFonts w:hint="eastAsia" w:ascii="宋体" w:hAnsi="宋体" w:eastAsia="宋体" w:cs="宋体"/>
                <w:color w:val="auto"/>
                <w:sz w:val="28"/>
                <w:szCs w:val="28"/>
                <w:highlight w:val="none"/>
                <w:lang w:val="en-US"/>
              </w:rPr>
              <w:t>/</w:t>
            </w:r>
          </w:p>
        </w:tc>
        <w:tc>
          <w:tcPr>
            <w:tcW w:w="4690" w:type="dxa"/>
            <w:tcBorders>
              <w:top w:val="nil"/>
              <w:left w:val="nil"/>
              <w:bottom w:val="nil"/>
              <w:right w:val="nil"/>
            </w:tcBorders>
            <w:noWrap/>
            <w:vAlign w:val="center"/>
          </w:tcPr>
          <w:p w14:paraId="11C2B53A">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rPr>
              <w:t>传  真：</w:t>
            </w:r>
            <w:r>
              <w:rPr>
                <w:rFonts w:hint="eastAsia" w:ascii="宋体" w:hAnsi="宋体" w:eastAsia="宋体" w:cs="宋体"/>
                <w:color w:val="auto"/>
                <w:sz w:val="28"/>
                <w:szCs w:val="28"/>
                <w:highlight w:val="none"/>
                <w:lang w:val="en-US"/>
              </w:rPr>
              <w:t>/</w:t>
            </w:r>
          </w:p>
        </w:tc>
      </w:tr>
      <w:tr w14:paraId="05822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3923" w:type="dxa"/>
            <w:tcBorders>
              <w:top w:val="nil"/>
              <w:left w:val="nil"/>
              <w:bottom w:val="nil"/>
              <w:right w:val="nil"/>
            </w:tcBorders>
            <w:noWrap/>
            <w:vAlign w:val="center"/>
          </w:tcPr>
          <w:p w14:paraId="4327C25E">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电子信箱：hcctgg@163.com</w:t>
            </w:r>
          </w:p>
        </w:tc>
        <w:tc>
          <w:tcPr>
            <w:tcW w:w="4690" w:type="dxa"/>
            <w:tcBorders>
              <w:top w:val="nil"/>
              <w:left w:val="nil"/>
              <w:bottom w:val="nil"/>
              <w:right w:val="nil"/>
            </w:tcBorders>
            <w:noWrap/>
            <w:vAlign w:val="center"/>
          </w:tcPr>
          <w:p w14:paraId="20A3AA1C">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rPr>
              <w:t>电子信箱：</w:t>
            </w:r>
          </w:p>
        </w:tc>
      </w:tr>
      <w:tr w14:paraId="79F7A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923" w:type="dxa"/>
            <w:tcBorders>
              <w:top w:val="nil"/>
              <w:left w:val="nil"/>
              <w:bottom w:val="nil"/>
              <w:right w:val="nil"/>
            </w:tcBorders>
            <w:noWrap/>
            <w:vAlign w:val="center"/>
          </w:tcPr>
          <w:p w14:paraId="581F2448">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p>
        </w:tc>
        <w:tc>
          <w:tcPr>
            <w:tcW w:w="4690" w:type="dxa"/>
            <w:tcBorders>
              <w:top w:val="nil"/>
              <w:left w:val="nil"/>
              <w:bottom w:val="nil"/>
              <w:right w:val="nil"/>
            </w:tcBorders>
            <w:noWrap/>
            <w:vAlign w:val="center"/>
          </w:tcPr>
          <w:p w14:paraId="6346EEC8">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开户银行：</w:t>
            </w:r>
          </w:p>
        </w:tc>
      </w:tr>
      <w:tr w14:paraId="064E5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3923" w:type="dxa"/>
            <w:tcBorders>
              <w:top w:val="nil"/>
              <w:left w:val="nil"/>
              <w:bottom w:val="nil"/>
              <w:right w:val="nil"/>
            </w:tcBorders>
            <w:noWrap/>
            <w:vAlign w:val="center"/>
          </w:tcPr>
          <w:p w14:paraId="589C85FD">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账  号：</w:t>
            </w:r>
          </w:p>
        </w:tc>
        <w:tc>
          <w:tcPr>
            <w:tcW w:w="4690" w:type="dxa"/>
            <w:tcBorders>
              <w:top w:val="nil"/>
              <w:left w:val="nil"/>
              <w:bottom w:val="nil"/>
              <w:right w:val="nil"/>
            </w:tcBorders>
            <w:noWrap/>
            <w:vAlign w:val="center"/>
          </w:tcPr>
          <w:p w14:paraId="4A6417AC">
            <w:pPr>
              <w:pageBreakBefore w:val="0"/>
              <w:widowControl/>
              <w:kinsoku/>
              <w:wordWrap/>
              <w:overflowPunct/>
              <w:topLinePunct w:val="0"/>
              <w:bidi w:val="0"/>
              <w:snapToGrid/>
              <w:spacing w:line="560" w:lineRule="exac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账  号：</w:t>
            </w:r>
          </w:p>
        </w:tc>
      </w:tr>
    </w:tbl>
    <w:p w14:paraId="0651730B">
      <w:pPr>
        <w:pStyle w:val="12"/>
        <w:keepNext/>
        <w:keepLines/>
        <w:pageBreakBefore w:val="0"/>
        <w:tabs>
          <w:tab w:val="left" w:pos="1134"/>
        </w:tabs>
        <w:kinsoku/>
        <w:wordWrap/>
        <w:overflowPunct/>
        <w:topLinePunct w:val="0"/>
        <w:bidi w:val="0"/>
        <w:snapToGrid/>
        <w:spacing w:before="60" w:after="60" w:line="560" w:lineRule="exact"/>
        <w:textAlignment w:val="auto"/>
        <w:outlineLvl w:val="1"/>
        <w:rPr>
          <w:rFonts w:hint="eastAsia" w:ascii="宋体" w:hAnsi="宋体" w:eastAsia="宋体" w:cs="宋体"/>
          <w:bCs/>
          <w:color w:val="auto"/>
          <w:sz w:val="28"/>
          <w:szCs w:val="28"/>
          <w:highlight w:val="none"/>
        </w:rPr>
        <w:sectPr>
          <w:pgSz w:w="11906" w:h="16838"/>
          <w:pgMar w:top="2098" w:right="1474" w:bottom="1440" w:left="1587" w:header="851" w:footer="851" w:gutter="0"/>
          <w:cols w:space="720" w:num="1"/>
          <w:docGrid w:linePitch="312" w:charSpace="0"/>
        </w:sectPr>
      </w:pPr>
      <w:bookmarkStart w:id="0" w:name="_Toc256000710"/>
    </w:p>
    <w:bookmarkEnd w:id="0"/>
    <w:p w14:paraId="422D868A">
      <w:pPr>
        <w:pageBreakBefore w:val="0"/>
        <w:kinsoku/>
        <w:wordWrap/>
        <w:overflowPunct/>
        <w:topLinePunct w:val="0"/>
        <w:bidi w:val="0"/>
        <w:snapToGrid/>
        <w:spacing w:line="560" w:lineRule="exact"/>
        <w:textAlignment w:val="auto"/>
        <w:rPr>
          <w:rFonts w:hint="eastAsia" w:ascii="宋体" w:hAnsi="宋体" w:eastAsia="宋体" w:cs="宋体"/>
          <w:sz w:val="28"/>
          <w:szCs w:val="28"/>
        </w:rPr>
      </w:pPr>
    </w:p>
    <w:sectPr>
      <w:footerReference r:id="rId3" w:type="default"/>
      <w:pgSz w:w="11906" w:h="16838"/>
      <w:pgMar w:top="2098" w:right="1474" w:bottom="1440"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楷体">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E3395">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903F6C">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7903F6C">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NTMwNzg2MzRlMDc0NjM0YTgxNjE1YWFhN2EwNDQifQ=="/>
  </w:docVars>
  <w:rsids>
    <w:rsidRoot w:val="5E7B54D2"/>
    <w:rsid w:val="01AC4E92"/>
    <w:rsid w:val="024261A6"/>
    <w:rsid w:val="02A4533C"/>
    <w:rsid w:val="05143E2A"/>
    <w:rsid w:val="093C74AB"/>
    <w:rsid w:val="09B914FD"/>
    <w:rsid w:val="0C2A2A29"/>
    <w:rsid w:val="134A6C68"/>
    <w:rsid w:val="134B3EEE"/>
    <w:rsid w:val="14082D98"/>
    <w:rsid w:val="15D72EA5"/>
    <w:rsid w:val="18AC7A70"/>
    <w:rsid w:val="18FB4997"/>
    <w:rsid w:val="1A7F4F2E"/>
    <w:rsid w:val="1C0A168B"/>
    <w:rsid w:val="22F8223D"/>
    <w:rsid w:val="26864004"/>
    <w:rsid w:val="268F4C66"/>
    <w:rsid w:val="2A225DF1"/>
    <w:rsid w:val="2A9259A3"/>
    <w:rsid w:val="2B3B25F9"/>
    <w:rsid w:val="2D7C58E7"/>
    <w:rsid w:val="30B55C11"/>
    <w:rsid w:val="389600D6"/>
    <w:rsid w:val="3D5823E4"/>
    <w:rsid w:val="49A95790"/>
    <w:rsid w:val="49B52386"/>
    <w:rsid w:val="4B15132F"/>
    <w:rsid w:val="51874D72"/>
    <w:rsid w:val="52FB3D85"/>
    <w:rsid w:val="559127B5"/>
    <w:rsid w:val="5D681792"/>
    <w:rsid w:val="5E2A4C99"/>
    <w:rsid w:val="5E7B54D2"/>
    <w:rsid w:val="69C93F91"/>
    <w:rsid w:val="6CB26586"/>
    <w:rsid w:val="70013C30"/>
    <w:rsid w:val="7B742E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unhideWhenUsed/>
    <w:qFormat/>
    <w:uiPriority w:val="0"/>
    <w:pPr>
      <w:keepNext/>
      <w:keepLines/>
      <w:spacing w:line="413" w:lineRule="auto"/>
      <w:outlineLvl w:val="2"/>
    </w:pPr>
    <w:rPr>
      <w:b/>
      <w:sz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99"/>
    <w:pPr>
      <w:jc w:val="center"/>
    </w:pPr>
    <w:rPr>
      <w:sz w:val="52"/>
    </w:rPr>
  </w:style>
  <w:style w:type="paragraph" w:styleId="4">
    <w:name w:val="Body Text Indent"/>
    <w:basedOn w:val="1"/>
    <w:next w:val="5"/>
    <w:qFormat/>
    <w:uiPriority w:val="99"/>
    <w:pPr>
      <w:spacing w:before="240" w:line="360" w:lineRule="auto"/>
      <w:ind w:firstLine="552" w:firstLineChars="263"/>
    </w:p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rFonts w:ascii="宋体" w:hAnsi="Courier New"/>
      <w:sz w:val="18"/>
      <w:szCs w:val="20"/>
    </w:rPr>
  </w:style>
  <w:style w:type="paragraph" w:styleId="8">
    <w:name w:val="toc 2"/>
    <w:basedOn w:val="1"/>
    <w:next w:val="1"/>
    <w:qFormat/>
    <w:uiPriority w:val="39"/>
    <w:pPr>
      <w:tabs>
        <w:tab w:val="right" w:leader="dot" w:pos="9628"/>
      </w:tabs>
      <w:ind w:left="420" w:firstLine="120"/>
      <w:jc w:val="left"/>
    </w:pPr>
    <w:rPr>
      <w:smallCaps/>
      <w:sz w:val="20"/>
      <w:szCs w:val="20"/>
    </w:rPr>
  </w:style>
  <w:style w:type="paragraph" w:styleId="9">
    <w:name w:val="Body Text First Indent 2"/>
    <w:basedOn w:val="4"/>
    <w:unhideWhenUsed/>
    <w:qFormat/>
    <w:uiPriority w:val="0"/>
    <w:pPr>
      <w:ind w:firstLine="420" w:firstLineChars="200"/>
    </w:pPr>
    <w:rPr>
      <w:rFonts w:ascii="Calibri" w:hAnsi="Calibri" w:eastAsia="Times New Roman"/>
      <w:sz w:val="24"/>
      <w:szCs w:val="24"/>
    </w:rPr>
  </w:style>
  <w:style w:type="paragraph" w:customStyle="1" w:styleId="12">
    <w:name w:val="正文_1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
    <w:name w:val="标准正文"/>
    <w:basedOn w:val="1"/>
    <w:qFormat/>
    <w:uiPriority w:val="0"/>
    <w:pPr>
      <w:widowControl/>
      <w:spacing w:line="360" w:lineRule="auto"/>
      <w:ind w:firstLine="480" w:firstLineChars="200"/>
      <w:jc w:val="left"/>
    </w:pPr>
    <w:rPr>
      <w:rFonts w:ascii="Calibri" w:hAnsi="Calibri" w:eastAsia="宋体" w:cs="Times New Roman"/>
      <w:bCs/>
      <w:sz w:val="24"/>
      <w:szCs w:val="22"/>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5899</Words>
  <Characters>6197</Characters>
  <Lines>0</Lines>
  <Paragraphs>0</Paragraphs>
  <TotalTime>7</TotalTime>
  <ScaleCrop>false</ScaleCrop>
  <LinksUpToDate>false</LinksUpToDate>
  <CharactersWithSpaces>6696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2023-10-07T09:51:00Z</dcterms:created>
  <dc:creator>韦厚生</dc:creator>
  <cp:lastModifiedBy>川爺</cp:lastModifiedBy>
  <dcterms:modified xsi:type="dcterms:W3CDTF">2025-05-23T00:19:06Z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D02B61A67CCD4DBF8619A619A30469B7_11</vt:lpwstr>
  </property>
  <property fmtid="{D5CDD505-2E9C-101B-9397-08002B2CF9AE}" pid="4" name="KSOTemplateDocerSaveRecord">
    <vt:lpwstr>eyJoZGlkIjoiYjE1NTMwNzg2MzRlMDc0NjM0YTgxNjE1YWFhN2EwNDQiLCJ1c2VySWQiOiIxMTM3OTc2MzU4In0=</vt:lpwstr>
  </property>
</Properties>
</file>